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易方达恒久添利1年定期开放债券型证券投资基金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中国工商银行股份有限公司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A06DB4" w:rsidRDefault="001D0AC8">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06DB4" w:rsidRDefault="001D0AC8">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06DB4" w:rsidRDefault="001D0AC8">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06DB4" w:rsidRDefault="001D0AC8">
      <w:pPr>
        <w:spacing w:line="360" w:lineRule="auto"/>
        <w:ind w:firstLineChars="200" w:firstLine="480"/>
        <w:rPr>
          <w:color w:val="000000"/>
          <w:sz w:val="24"/>
        </w:rPr>
      </w:pPr>
      <w:r>
        <w:rPr>
          <w:color w:val="000000"/>
          <w:sz w:val="24"/>
        </w:rPr>
        <w:t>基金的过往业绩并不代表其未来表现。投资有</w:t>
      </w:r>
      <w:r>
        <w:rPr>
          <w:color w:val="000000"/>
          <w:sz w:val="24"/>
        </w:rPr>
        <w:t>风险，投资者在作出投资决策前应仔细阅读本基金的招募说明书。</w:t>
      </w:r>
      <w:r>
        <w:rPr>
          <w:color w:val="000000"/>
          <w:sz w:val="24"/>
        </w:rPr>
        <w:t xml:space="preserve"> </w:t>
      </w:r>
    </w:p>
    <w:p w:rsidR="00A06DB4" w:rsidRDefault="001D0AC8">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易方达恒久</w:t>
            </w:r>
            <w:r w:rsidRPr="00C30CFF">
              <w:rPr>
                <w:color w:val="000000"/>
                <w:kern w:val="0"/>
                <w:sz w:val="24"/>
              </w:rPr>
              <w:t>1</w:t>
            </w:r>
            <w:r w:rsidRPr="00C30CFF">
              <w:rPr>
                <w:color w:val="000000"/>
                <w:kern w:val="0"/>
                <w:sz w:val="24"/>
              </w:rPr>
              <w:t>年定期债券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000265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2014</w:t>
            </w:r>
            <w:r w:rsidRPr="00C30CFF">
              <w:rPr>
                <w:color w:val="000000"/>
                <w:kern w:val="0"/>
                <w:sz w:val="24"/>
              </w:rPr>
              <w:t>年</w:t>
            </w:r>
            <w:r w:rsidRPr="00C30CFF">
              <w:rPr>
                <w:color w:val="000000"/>
                <w:kern w:val="0"/>
                <w:sz w:val="24"/>
              </w:rPr>
              <w:t>9</w:t>
            </w:r>
            <w:r w:rsidRPr="00C30CFF">
              <w:rPr>
                <w:color w:val="000000"/>
                <w:kern w:val="0"/>
                <w:sz w:val="24"/>
              </w:rPr>
              <w:t>月</w:t>
            </w:r>
            <w:r w:rsidRPr="00C30CFF">
              <w:rPr>
                <w:color w:val="000000"/>
                <w:kern w:val="0"/>
                <w:sz w:val="24"/>
              </w:rPr>
              <w:t>10</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1,096,851,701.36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本基金在追求基金资产长期稳健增值的基础上，力争为基金份额持有人创造超越业绩比较基准的稳定收益。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A06DB4" w:rsidRDefault="001D0AC8">
            <w:pPr>
              <w:adjustRightInd w:val="0"/>
              <w:spacing w:before="29" w:line="360" w:lineRule="auto"/>
              <w:ind w:left="17"/>
              <w:jc w:val="left"/>
              <w:rPr>
                <w:color w:val="000000"/>
                <w:sz w:val="24"/>
              </w:rPr>
            </w:pPr>
            <w:r>
              <w:rPr>
                <w:color w:val="000000"/>
                <w:kern w:val="0"/>
                <w:sz w:val="24"/>
              </w:rPr>
              <w:t>在封闭期，本基金将密切关注宏观经济走势，深入分析货币和财政政策、市场资金供求情况、证券市场走势等，综合考量各类资产的市场容量、流动性和风险特征等因素，在银行存款、债券和现金等资产类别之间进行动态配置，确定最优配置比例。根</w:t>
            </w:r>
            <w:r>
              <w:rPr>
                <w:color w:val="000000"/>
                <w:kern w:val="0"/>
                <w:sz w:val="24"/>
              </w:rPr>
              <w:lastRenderedPageBreak/>
              <w:t>据对宏观经济变量和政策的分析，预测收益率曲线的变动趋势，综合考虑组合流动性决定投资品种；并据此调整投资组合的平均久期，提高组合的总投资收益。同时根据对资金面的综合分析，判断利差套利空间，通过杠杆操作放大组合收益。</w:t>
            </w:r>
          </w:p>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在开放期，本基金为保持较高的组合流动性，方便投资人投资，在遵守有关投资限制与投资比例的前提下，主要投资于高流动性投资品种，减小基金净值波动。</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中国人民银行公布的一年期银行定期整存整取存款利率（税后）</w:t>
            </w:r>
            <w:r w:rsidRPr="00C30CFF">
              <w:rPr>
                <w:color w:val="000000"/>
                <w:kern w:val="0"/>
                <w:sz w:val="24"/>
              </w:rPr>
              <w:t>+1.2%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中国工商银行股份有限公司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易方达恒久</w:t>
            </w:r>
            <w:r w:rsidRPr="00C30CFF">
              <w:rPr>
                <w:sz w:val="24"/>
              </w:rPr>
              <w:t>1</w:t>
            </w:r>
            <w:r w:rsidRPr="00C30CFF">
              <w:rPr>
                <w:sz w:val="24"/>
              </w:rPr>
              <w:t>年定期债券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易方达恒久</w:t>
            </w:r>
            <w:r w:rsidRPr="00C30CFF">
              <w:rPr>
                <w:sz w:val="24"/>
              </w:rPr>
              <w:t>1</w:t>
            </w:r>
            <w:r w:rsidRPr="00C30CFF">
              <w:rPr>
                <w:sz w:val="24"/>
              </w:rPr>
              <w:t>年定期债券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000265</w:t>
            </w:r>
          </w:p>
        </w:tc>
        <w:tc>
          <w:tcPr>
            <w:tcW w:w="2790" w:type="dxa"/>
            <w:vAlign w:val="center"/>
          </w:tcPr>
          <w:p w:rsidR="00F016DD" w:rsidRPr="00C30CFF" w:rsidRDefault="00F016DD" w:rsidP="00950413">
            <w:pPr>
              <w:jc w:val="left"/>
              <w:rPr>
                <w:color w:val="000000"/>
                <w:sz w:val="24"/>
              </w:rPr>
            </w:pPr>
            <w:r w:rsidRPr="00C30CFF">
              <w:rPr>
                <w:color w:val="000000"/>
                <w:sz w:val="24"/>
              </w:rPr>
              <w:t>000266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1,071,498,588.88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25,353,112.48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易方达恒久</w:t>
            </w:r>
            <w:r w:rsidRPr="00FA472B">
              <w:rPr>
                <w:sz w:val="24"/>
              </w:rPr>
              <w:t>1</w:t>
            </w:r>
            <w:r w:rsidRPr="00FA472B">
              <w:rPr>
                <w:sz w:val="24"/>
              </w:rPr>
              <w:t>年定期债券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易方达恒久</w:t>
            </w:r>
            <w:r w:rsidRPr="00FA472B">
              <w:rPr>
                <w:sz w:val="24"/>
              </w:rPr>
              <w:t>1</w:t>
            </w:r>
            <w:r w:rsidRPr="00FA472B">
              <w:rPr>
                <w:sz w:val="24"/>
              </w:rPr>
              <w:t>年定期债券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14,409,994.52</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337,704.14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15,870,668.38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381,329.16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0.0173</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0.0166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1,127,798,906.12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26,578,804.06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1.053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1.048</w:t>
            </w:r>
          </w:p>
        </w:tc>
      </w:tr>
    </w:tbl>
    <w:p w:rsidR="00A06DB4" w:rsidRDefault="001D0AC8">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易方达恒久1年定期债券A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06DB4">
        <w:tc>
          <w:tcPr>
            <w:tcW w:w="1290" w:type="dxa"/>
            <w:vAlign w:val="center"/>
          </w:tcPr>
          <w:p w:rsidR="00A06DB4" w:rsidRDefault="001D0AC8">
            <w:pPr>
              <w:jc w:val="left"/>
            </w:pPr>
            <w:r>
              <w:rPr>
                <w:color w:val="000000"/>
                <w:sz w:val="24"/>
              </w:rPr>
              <w:t>过去三个月</w:t>
            </w:r>
          </w:p>
        </w:tc>
        <w:tc>
          <w:tcPr>
            <w:tcW w:w="1291" w:type="dxa"/>
            <w:vAlign w:val="center"/>
          </w:tcPr>
          <w:p w:rsidR="00A06DB4" w:rsidRDefault="001D0AC8">
            <w:pPr>
              <w:jc w:val="center"/>
            </w:pPr>
            <w:r>
              <w:rPr>
                <w:color w:val="000000"/>
                <w:sz w:val="24"/>
              </w:rPr>
              <w:t>1.74%</w:t>
            </w:r>
          </w:p>
        </w:tc>
        <w:tc>
          <w:tcPr>
            <w:tcW w:w="1291" w:type="dxa"/>
            <w:vAlign w:val="center"/>
          </w:tcPr>
          <w:p w:rsidR="00A06DB4" w:rsidRDefault="001D0AC8">
            <w:pPr>
              <w:jc w:val="center"/>
            </w:pPr>
            <w:r>
              <w:rPr>
                <w:color w:val="000000"/>
                <w:sz w:val="24"/>
              </w:rPr>
              <w:t>0.05%</w:t>
            </w:r>
          </w:p>
        </w:tc>
        <w:tc>
          <w:tcPr>
            <w:tcW w:w="1291" w:type="dxa"/>
            <w:vAlign w:val="center"/>
          </w:tcPr>
          <w:p w:rsidR="00A06DB4" w:rsidRDefault="001D0AC8">
            <w:pPr>
              <w:jc w:val="center"/>
            </w:pPr>
            <w:r>
              <w:rPr>
                <w:color w:val="000000"/>
                <w:sz w:val="24"/>
              </w:rPr>
              <w:t>0.69%</w:t>
            </w:r>
          </w:p>
        </w:tc>
        <w:tc>
          <w:tcPr>
            <w:tcW w:w="1291" w:type="dxa"/>
            <w:vAlign w:val="center"/>
          </w:tcPr>
          <w:p w:rsidR="00A06DB4" w:rsidRDefault="001D0AC8">
            <w:pPr>
              <w:jc w:val="center"/>
            </w:pPr>
            <w:r>
              <w:rPr>
                <w:color w:val="000000"/>
                <w:sz w:val="24"/>
              </w:rPr>
              <w:t>0.01%</w:t>
            </w:r>
          </w:p>
        </w:tc>
        <w:tc>
          <w:tcPr>
            <w:tcW w:w="1291" w:type="dxa"/>
            <w:vAlign w:val="center"/>
          </w:tcPr>
          <w:p w:rsidR="00A06DB4" w:rsidRDefault="001D0AC8">
            <w:pPr>
              <w:jc w:val="center"/>
            </w:pPr>
            <w:r>
              <w:rPr>
                <w:color w:val="000000"/>
                <w:sz w:val="24"/>
              </w:rPr>
              <w:t>1.05%</w:t>
            </w:r>
          </w:p>
        </w:tc>
        <w:tc>
          <w:tcPr>
            <w:tcW w:w="1291" w:type="dxa"/>
            <w:vAlign w:val="center"/>
          </w:tcPr>
          <w:p w:rsidR="00A06DB4" w:rsidRDefault="001D0AC8">
            <w:pPr>
              <w:jc w:val="center"/>
            </w:pPr>
            <w:r>
              <w:rPr>
                <w:color w:val="000000"/>
                <w:sz w:val="24"/>
              </w:rPr>
              <w:t>0.04%</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易方达恒久1年定期债券C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06DB4">
        <w:tc>
          <w:tcPr>
            <w:tcW w:w="1290" w:type="dxa"/>
            <w:vAlign w:val="center"/>
          </w:tcPr>
          <w:p w:rsidR="00A06DB4" w:rsidRDefault="001D0AC8">
            <w:pPr>
              <w:jc w:val="left"/>
            </w:pPr>
            <w:r>
              <w:rPr>
                <w:color w:val="000000"/>
                <w:sz w:val="24"/>
              </w:rPr>
              <w:t>过去三个月</w:t>
            </w:r>
          </w:p>
        </w:tc>
        <w:tc>
          <w:tcPr>
            <w:tcW w:w="1291" w:type="dxa"/>
            <w:vAlign w:val="center"/>
          </w:tcPr>
          <w:p w:rsidR="00A06DB4" w:rsidRDefault="001D0AC8">
            <w:pPr>
              <w:jc w:val="center"/>
            </w:pPr>
            <w:r>
              <w:rPr>
                <w:color w:val="000000"/>
                <w:sz w:val="24"/>
              </w:rPr>
              <w:t>1.55%</w:t>
            </w:r>
          </w:p>
        </w:tc>
        <w:tc>
          <w:tcPr>
            <w:tcW w:w="1291" w:type="dxa"/>
            <w:vAlign w:val="center"/>
          </w:tcPr>
          <w:p w:rsidR="00A06DB4" w:rsidRDefault="001D0AC8">
            <w:pPr>
              <w:jc w:val="center"/>
            </w:pPr>
            <w:r>
              <w:rPr>
                <w:color w:val="000000"/>
                <w:sz w:val="24"/>
              </w:rPr>
              <w:t>0.05%</w:t>
            </w:r>
          </w:p>
        </w:tc>
        <w:tc>
          <w:tcPr>
            <w:tcW w:w="1291" w:type="dxa"/>
            <w:vAlign w:val="center"/>
          </w:tcPr>
          <w:p w:rsidR="00A06DB4" w:rsidRDefault="001D0AC8">
            <w:pPr>
              <w:jc w:val="center"/>
            </w:pPr>
            <w:r>
              <w:rPr>
                <w:color w:val="000000"/>
                <w:sz w:val="24"/>
              </w:rPr>
              <w:t>0.69%</w:t>
            </w:r>
          </w:p>
        </w:tc>
        <w:tc>
          <w:tcPr>
            <w:tcW w:w="1291" w:type="dxa"/>
            <w:vAlign w:val="center"/>
          </w:tcPr>
          <w:p w:rsidR="00A06DB4" w:rsidRDefault="001D0AC8">
            <w:pPr>
              <w:jc w:val="center"/>
            </w:pPr>
            <w:r>
              <w:rPr>
                <w:color w:val="000000"/>
                <w:sz w:val="24"/>
              </w:rPr>
              <w:t>0.01%</w:t>
            </w:r>
          </w:p>
        </w:tc>
        <w:tc>
          <w:tcPr>
            <w:tcW w:w="1291" w:type="dxa"/>
            <w:vAlign w:val="center"/>
          </w:tcPr>
          <w:p w:rsidR="00A06DB4" w:rsidRDefault="001D0AC8">
            <w:pPr>
              <w:jc w:val="center"/>
            </w:pPr>
            <w:r>
              <w:rPr>
                <w:color w:val="000000"/>
                <w:sz w:val="24"/>
              </w:rPr>
              <w:t>0.86%</w:t>
            </w:r>
          </w:p>
        </w:tc>
        <w:tc>
          <w:tcPr>
            <w:tcW w:w="1291" w:type="dxa"/>
            <w:vAlign w:val="center"/>
          </w:tcPr>
          <w:p w:rsidR="00A06DB4" w:rsidRDefault="001D0AC8">
            <w:pPr>
              <w:jc w:val="center"/>
            </w:pPr>
            <w:r>
              <w:rPr>
                <w:color w:val="000000"/>
                <w:sz w:val="24"/>
              </w:rPr>
              <w:t>0.04%</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易方达恒久添利</w:t>
      </w:r>
      <w:r w:rsidRPr="00FA472B">
        <w:rPr>
          <w:color w:val="000000"/>
          <w:sz w:val="24"/>
        </w:rPr>
        <w:t>1</w:t>
      </w:r>
      <w:r w:rsidRPr="00FA472B">
        <w:rPr>
          <w:color w:val="000000"/>
          <w:sz w:val="24"/>
        </w:rPr>
        <w:t>年定期开放债券型证券投资基金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lastRenderedPageBreak/>
        <w:t>(2014</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10</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易方达恒久</w:t>
      </w:r>
      <w:r w:rsidRPr="00611CB2">
        <w:rPr>
          <w:color w:val="000000"/>
          <w:sz w:val="24"/>
        </w:rPr>
        <w:t>1</w:t>
      </w:r>
      <w:r w:rsidRPr="00611CB2">
        <w:rPr>
          <w:color w:val="000000"/>
          <w:sz w:val="24"/>
        </w:rPr>
        <w:t>年定期债券</w:t>
      </w:r>
      <w:r w:rsidRPr="00611CB2">
        <w:rPr>
          <w:color w:val="000000"/>
          <w:sz w:val="24"/>
        </w:rPr>
        <w:t>A</w:t>
      </w:r>
    </w:p>
    <w:p w:rsidR="00F016DD" w:rsidRPr="0078105B" w:rsidRDefault="001D0AC8"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易方达恒久</w:t>
      </w:r>
      <w:r w:rsidRPr="00611CB2">
        <w:rPr>
          <w:color w:val="000000"/>
          <w:sz w:val="24"/>
        </w:rPr>
        <w:t>1</w:t>
      </w:r>
      <w:r w:rsidRPr="00611CB2">
        <w:rPr>
          <w:color w:val="000000"/>
          <w:sz w:val="24"/>
        </w:rPr>
        <w:t>年定期债券</w:t>
      </w:r>
      <w:r w:rsidRPr="00611CB2">
        <w:rPr>
          <w:color w:val="000000"/>
          <w:sz w:val="24"/>
        </w:rPr>
        <w:t>C</w:t>
      </w:r>
    </w:p>
    <w:p w:rsidR="00F016DD" w:rsidRPr="0078105B" w:rsidRDefault="001D0AC8"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27.90%</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25.23%</w:t>
      </w:r>
      <w:r w:rsidRPr="00DF18FE">
        <w:rPr>
          <w:color w:val="000000"/>
          <w:sz w:val="24"/>
        </w:rPr>
        <w:t>，同期业绩比较基准收益率为</w:t>
      </w:r>
      <w:r w:rsidRPr="00DF18FE">
        <w:rPr>
          <w:color w:val="000000"/>
          <w:sz w:val="24"/>
        </w:rPr>
        <w:t>15.66%</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A06DB4">
        <w:tc>
          <w:tcPr>
            <w:tcW w:w="567" w:type="dxa"/>
            <w:vAlign w:val="center"/>
          </w:tcPr>
          <w:p w:rsidR="00A06DB4" w:rsidRDefault="001D0AC8">
            <w:pPr>
              <w:jc w:val="center"/>
            </w:pPr>
            <w:r>
              <w:rPr>
                <w:color w:val="000000"/>
                <w:sz w:val="24"/>
              </w:rPr>
              <w:t>田宇</w:t>
            </w:r>
          </w:p>
        </w:tc>
        <w:tc>
          <w:tcPr>
            <w:tcW w:w="2835" w:type="dxa"/>
            <w:vAlign w:val="center"/>
          </w:tcPr>
          <w:p w:rsidR="00A06DB4" w:rsidRDefault="001D0AC8">
            <w:pPr>
              <w:jc w:val="center"/>
            </w:pPr>
            <w:r>
              <w:rPr>
                <w:color w:val="000000"/>
                <w:sz w:val="24"/>
              </w:rPr>
              <w:t>本基金的基金经理、易方达安盈回报混合型证券投资基金的基金经理助理、易方达鑫转招利混合型证券投资基金的基金经理助理、易方达鑫转增利混合型证券投资基金的基金经理助理、易方达鑫转添利混合型证券投资基金的基金经理助理、易方达富财纯债债券型证券投资基金的基金经理助理、易方达丰华债券型证券投资基金的基金经理助理、易方达丰和债券型证券投资基金的基金经理助理、易方达中债</w:t>
            </w:r>
            <w:r>
              <w:rPr>
                <w:color w:val="000000"/>
                <w:sz w:val="24"/>
              </w:rPr>
              <w:t>7-10</w:t>
            </w:r>
            <w:r>
              <w:rPr>
                <w:color w:val="000000"/>
                <w:sz w:val="24"/>
              </w:rPr>
              <w:t>年期国开行债券指数证券投资基金的基金经理助理、易方达中债</w:t>
            </w:r>
            <w:r>
              <w:rPr>
                <w:color w:val="000000"/>
                <w:sz w:val="24"/>
              </w:rPr>
              <w:t>3-5</w:t>
            </w:r>
            <w:r>
              <w:rPr>
                <w:color w:val="000000"/>
                <w:sz w:val="24"/>
              </w:rPr>
              <w:t>年期国债指数证券投资基金的基金经理助理、易方达纯债债券型证券投资基金的基金经理助理、易</w:t>
            </w:r>
            <w:r>
              <w:rPr>
                <w:color w:val="000000"/>
                <w:sz w:val="24"/>
              </w:rPr>
              <w:t>方达裕丰回报债券型证券投资基金的基金经理助理、易方达安心回报债券型证券投资基金的基金经理助理</w:t>
            </w:r>
          </w:p>
        </w:tc>
        <w:tc>
          <w:tcPr>
            <w:tcW w:w="851" w:type="dxa"/>
            <w:vAlign w:val="center"/>
          </w:tcPr>
          <w:p w:rsidR="00A06DB4" w:rsidRDefault="001D0AC8">
            <w:pPr>
              <w:jc w:val="center"/>
            </w:pPr>
            <w:r>
              <w:rPr>
                <w:color w:val="000000"/>
                <w:sz w:val="24"/>
              </w:rPr>
              <w:t>2017-10-20</w:t>
            </w:r>
          </w:p>
        </w:tc>
        <w:tc>
          <w:tcPr>
            <w:tcW w:w="850" w:type="dxa"/>
            <w:vAlign w:val="center"/>
          </w:tcPr>
          <w:p w:rsidR="00A06DB4" w:rsidRDefault="001D0AC8">
            <w:pPr>
              <w:jc w:val="center"/>
            </w:pPr>
            <w:r>
              <w:rPr>
                <w:color w:val="000000"/>
                <w:sz w:val="24"/>
              </w:rPr>
              <w:t>-</w:t>
            </w:r>
          </w:p>
        </w:tc>
        <w:tc>
          <w:tcPr>
            <w:tcW w:w="851" w:type="dxa"/>
            <w:vAlign w:val="center"/>
          </w:tcPr>
          <w:p w:rsidR="00A06DB4" w:rsidRDefault="001D0AC8">
            <w:pPr>
              <w:jc w:val="center"/>
            </w:pPr>
            <w:r>
              <w:rPr>
                <w:color w:val="000000"/>
                <w:sz w:val="24"/>
              </w:rPr>
              <w:t>8</w:t>
            </w:r>
            <w:r>
              <w:rPr>
                <w:color w:val="000000"/>
                <w:sz w:val="24"/>
              </w:rPr>
              <w:t>年</w:t>
            </w:r>
          </w:p>
        </w:tc>
        <w:tc>
          <w:tcPr>
            <w:tcW w:w="2977" w:type="dxa"/>
            <w:vAlign w:val="center"/>
          </w:tcPr>
          <w:p w:rsidR="00A06DB4" w:rsidRDefault="001D0AC8">
            <w:r>
              <w:rPr>
                <w:color w:val="000000"/>
                <w:sz w:val="24"/>
              </w:rPr>
              <w:t>硕士研究生，曾任中信证券股份有限公司资金运营部研究员，中信建投证券股份有限公司固定收益部投资经理，易方达基金管理有限公司易方达恒久添利</w:t>
            </w:r>
            <w:r>
              <w:rPr>
                <w:color w:val="000000"/>
                <w:sz w:val="24"/>
              </w:rPr>
              <w:t>1</w:t>
            </w:r>
            <w:r>
              <w:rPr>
                <w:color w:val="000000"/>
                <w:sz w:val="24"/>
              </w:rPr>
              <w:t>年定期开放债券型证券投资基金基金经理助理、易方达瑞信灵活配置混合型证券投资基金基金经理助理。</w:t>
            </w:r>
          </w:p>
        </w:tc>
      </w:tr>
    </w:tbl>
    <w:p w:rsidR="00A06DB4" w:rsidRDefault="001D0AC8">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A06DB4" w:rsidRDefault="001D0AC8">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A06DB4" w:rsidRDefault="001D0AC8">
      <w:pPr>
        <w:spacing w:line="360" w:lineRule="auto"/>
        <w:ind w:firstLineChars="200" w:firstLine="480"/>
        <w:rPr>
          <w:color w:val="000000"/>
          <w:sz w:val="24"/>
        </w:rPr>
      </w:pPr>
      <w:r>
        <w:rPr>
          <w:color w:val="000000"/>
          <w:sz w:val="24"/>
        </w:rPr>
        <w:t>2019</w:t>
      </w:r>
      <w:r>
        <w:rPr>
          <w:color w:val="000000"/>
          <w:sz w:val="24"/>
        </w:rPr>
        <w:t>年三季度，债券收益率整体呈现先下后上的走势。基本面和政策预期是驱动收益率波动的主要因素。</w:t>
      </w:r>
      <w:r>
        <w:rPr>
          <w:color w:val="000000"/>
          <w:sz w:val="24"/>
        </w:rPr>
        <w:t>7</w:t>
      </w:r>
      <w:r>
        <w:rPr>
          <w:color w:val="000000"/>
          <w:sz w:val="24"/>
        </w:rPr>
        <w:t>月以来，在制造业</w:t>
      </w:r>
      <w:r>
        <w:rPr>
          <w:color w:val="000000"/>
          <w:sz w:val="24"/>
        </w:rPr>
        <w:t>PMI</w:t>
      </w:r>
      <w:r>
        <w:rPr>
          <w:color w:val="000000"/>
          <w:sz w:val="24"/>
        </w:rPr>
        <w:t>持续低迷、降准降息预期升温等因素影响下，长端利率债收益率震荡下行。随后，政治局会议对房地产行业政策的表态引发市场对于经济下行的担忧，推动长端利率债收益率突破年内低点。</w:t>
      </w:r>
      <w:r>
        <w:rPr>
          <w:color w:val="000000"/>
          <w:sz w:val="24"/>
        </w:rPr>
        <w:t>8</w:t>
      </w:r>
      <w:r>
        <w:rPr>
          <w:color w:val="000000"/>
          <w:sz w:val="24"/>
        </w:rPr>
        <w:t>月中下旬开始，地方债额度提前下发、通胀预期升温导致货币政策宽松预期弱化、季末资金面波动等因素推动长端收益率波动上行。从整个季度来看，</w:t>
      </w:r>
      <w:r>
        <w:rPr>
          <w:color w:val="000000"/>
          <w:sz w:val="24"/>
        </w:rPr>
        <w:t>10</w:t>
      </w:r>
      <w:r>
        <w:rPr>
          <w:color w:val="000000"/>
          <w:sz w:val="24"/>
        </w:rPr>
        <w:t>年期利率债收益率小幅下行，信用利差整体上有所压缩。</w:t>
      </w:r>
    </w:p>
    <w:p w:rsidR="00F016DD" w:rsidRPr="00DF18FE" w:rsidRDefault="00F016DD" w:rsidP="00DF18FE">
      <w:pPr>
        <w:spacing w:line="360" w:lineRule="auto"/>
        <w:ind w:firstLineChars="200" w:firstLine="480"/>
        <w:rPr>
          <w:color w:val="000000"/>
          <w:sz w:val="24"/>
        </w:rPr>
      </w:pPr>
      <w:r w:rsidRPr="00DF18FE">
        <w:rPr>
          <w:color w:val="000000"/>
          <w:sz w:val="24"/>
        </w:rPr>
        <w:t>报告期内，组合在</w:t>
      </w:r>
      <w:r w:rsidRPr="00DF18FE">
        <w:rPr>
          <w:color w:val="000000"/>
          <w:sz w:val="24"/>
        </w:rPr>
        <w:t>7</w:t>
      </w:r>
      <w:r w:rsidRPr="00DF18FE">
        <w:rPr>
          <w:color w:val="000000"/>
          <w:sz w:val="24"/>
        </w:rPr>
        <w:t>月通过加仓长久期利率债提升了久期水平，同时保持了较高</w:t>
      </w:r>
      <w:r w:rsidRPr="00DF18FE">
        <w:rPr>
          <w:color w:val="000000"/>
          <w:sz w:val="24"/>
        </w:rPr>
        <w:lastRenderedPageBreak/>
        <w:t>的杠杆水平；</w:t>
      </w:r>
      <w:r w:rsidRPr="00DF18FE">
        <w:rPr>
          <w:color w:val="000000"/>
          <w:sz w:val="24"/>
        </w:rPr>
        <w:t>8</w:t>
      </w:r>
      <w:r w:rsidRPr="00DF18FE">
        <w:rPr>
          <w:color w:val="000000"/>
          <w:sz w:val="24"/>
        </w:rPr>
        <w:t>月末产品临近开放期，组合减少长久期利率债持仓，久期和杠杆水平均有所下降；</w:t>
      </w:r>
      <w:r w:rsidRPr="00DF18FE">
        <w:rPr>
          <w:color w:val="000000"/>
          <w:sz w:val="24"/>
        </w:rPr>
        <w:t>9</w:t>
      </w:r>
      <w:r w:rsidRPr="00DF18FE">
        <w:rPr>
          <w:color w:val="000000"/>
          <w:sz w:val="24"/>
        </w:rPr>
        <w:t>月上旬产品封闭后，组合加仓短久期信用债以获得票息收益。整体上看三季度组合久期策略操作较为有效。结构上，组合信用债持仓比例有所上升。</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1.053</w:t>
      </w:r>
      <w:r w:rsidRPr="00DF18FE">
        <w:rPr>
          <w:color w:val="000000"/>
          <w:sz w:val="24"/>
        </w:rPr>
        <w:t>元，本报告期份额净值增长率为</w:t>
      </w:r>
      <w:r w:rsidRPr="00DF18FE">
        <w:rPr>
          <w:color w:val="000000"/>
          <w:sz w:val="24"/>
        </w:rPr>
        <w:t>1.74%</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1.048</w:t>
      </w:r>
      <w:r w:rsidRPr="00DF18FE">
        <w:rPr>
          <w:color w:val="000000"/>
          <w:sz w:val="24"/>
        </w:rPr>
        <w:t>元，本报告期份额净值增长率为</w:t>
      </w:r>
      <w:r w:rsidRPr="00DF18FE">
        <w:rPr>
          <w:color w:val="000000"/>
          <w:sz w:val="24"/>
        </w:rPr>
        <w:t>1.55%</w:t>
      </w:r>
      <w:r w:rsidRPr="00DF18FE">
        <w:rPr>
          <w:color w:val="000000"/>
          <w:sz w:val="24"/>
        </w:rPr>
        <w:t>；同期业绩比较基准收益率为</w:t>
      </w:r>
      <w:r w:rsidRPr="00DF18FE">
        <w:rPr>
          <w:color w:val="000000"/>
          <w:sz w:val="24"/>
        </w:rPr>
        <w:t>0.69%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1,682,087,180.70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96.73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1,672,075,180.70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96.15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10,012,000.00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0.58</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19,869,539.82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37,068,778.20</w:t>
            </w:r>
          </w:p>
        </w:tc>
        <w:tc>
          <w:tcPr>
            <w:tcW w:w="1843" w:type="dxa"/>
            <w:vAlign w:val="center"/>
          </w:tcPr>
          <w:p w:rsidR="00F016DD" w:rsidRPr="00FA472B" w:rsidRDefault="00F016DD" w:rsidP="00F4518C">
            <w:pPr>
              <w:jc w:val="right"/>
              <w:rPr>
                <w:color w:val="000000"/>
                <w:sz w:val="24"/>
              </w:rPr>
            </w:pPr>
            <w:r w:rsidRPr="00FA472B">
              <w:rPr>
                <w:color w:val="000000"/>
                <w:sz w:val="24"/>
              </w:rPr>
              <w:t>2.13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1,739,025,498.72</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49,125,000.00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49,125,000.00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1,225,491,180.70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106.16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60,685,000.00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336,774,000.00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29.17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1,672,075,180.70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144.85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A06DB4">
        <w:tc>
          <w:tcPr>
            <w:tcW w:w="802" w:type="dxa"/>
            <w:vAlign w:val="center"/>
          </w:tcPr>
          <w:p w:rsidR="00A06DB4" w:rsidRDefault="001D0AC8">
            <w:pPr>
              <w:jc w:val="center"/>
            </w:pPr>
            <w:r>
              <w:rPr>
                <w:color w:val="000000"/>
                <w:sz w:val="24"/>
              </w:rPr>
              <w:t>1</w:t>
            </w:r>
          </w:p>
        </w:tc>
        <w:tc>
          <w:tcPr>
            <w:tcW w:w="1559" w:type="dxa"/>
            <w:vAlign w:val="center"/>
          </w:tcPr>
          <w:p w:rsidR="00A06DB4" w:rsidRDefault="001D0AC8">
            <w:pPr>
              <w:jc w:val="center"/>
            </w:pPr>
            <w:r>
              <w:rPr>
                <w:color w:val="000000"/>
                <w:sz w:val="24"/>
              </w:rPr>
              <w:t>136024</w:t>
            </w:r>
          </w:p>
        </w:tc>
        <w:tc>
          <w:tcPr>
            <w:tcW w:w="1985" w:type="dxa"/>
            <w:vAlign w:val="center"/>
          </w:tcPr>
          <w:p w:rsidR="00A06DB4" w:rsidRDefault="001D0AC8">
            <w:pPr>
              <w:jc w:val="center"/>
            </w:pPr>
            <w:r>
              <w:rPr>
                <w:color w:val="000000"/>
                <w:sz w:val="24"/>
              </w:rPr>
              <w:t>15</w:t>
            </w:r>
            <w:r>
              <w:rPr>
                <w:color w:val="000000"/>
                <w:sz w:val="24"/>
              </w:rPr>
              <w:t>沪城开</w:t>
            </w:r>
          </w:p>
        </w:tc>
        <w:tc>
          <w:tcPr>
            <w:tcW w:w="1559" w:type="dxa"/>
            <w:vAlign w:val="center"/>
          </w:tcPr>
          <w:p w:rsidR="00A06DB4" w:rsidRDefault="001D0AC8">
            <w:pPr>
              <w:jc w:val="right"/>
            </w:pPr>
            <w:r>
              <w:rPr>
                <w:color w:val="000000"/>
                <w:sz w:val="24"/>
              </w:rPr>
              <w:t>900,000</w:t>
            </w:r>
          </w:p>
        </w:tc>
        <w:tc>
          <w:tcPr>
            <w:tcW w:w="2126" w:type="dxa"/>
            <w:vAlign w:val="center"/>
          </w:tcPr>
          <w:p w:rsidR="00A06DB4" w:rsidRDefault="001D0AC8">
            <w:pPr>
              <w:jc w:val="right"/>
            </w:pPr>
            <w:r>
              <w:rPr>
                <w:color w:val="000000"/>
                <w:sz w:val="24"/>
              </w:rPr>
              <w:t>92,610,000.00</w:t>
            </w:r>
          </w:p>
        </w:tc>
        <w:tc>
          <w:tcPr>
            <w:tcW w:w="990" w:type="dxa"/>
            <w:vAlign w:val="center"/>
          </w:tcPr>
          <w:p w:rsidR="00A06DB4" w:rsidRDefault="001D0AC8">
            <w:pPr>
              <w:jc w:val="right"/>
            </w:pPr>
            <w:r>
              <w:rPr>
                <w:color w:val="000000"/>
                <w:sz w:val="24"/>
              </w:rPr>
              <w:t>8.02</w:t>
            </w:r>
          </w:p>
        </w:tc>
      </w:tr>
      <w:tr w:rsidR="00A06DB4">
        <w:tc>
          <w:tcPr>
            <w:tcW w:w="802" w:type="dxa"/>
            <w:vAlign w:val="center"/>
          </w:tcPr>
          <w:p w:rsidR="00A06DB4" w:rsidRDefault="001D0AC8">
            <w:pPr>
              <w:jc w:val="center"/>
            </w:pPr>
            <w:r>
              <w:rPr>
                <w:color w:val="000000"/>
                <w:sz w:val="24"/>
              </w:rPr>
              <w:t>2</w:t>
            </w:r>
          </w:p>
        </w:tc>
        <w:tc>
          <w:tcPr>
            <w:tcW w:w="1559" w:type="dxa"/>
            <w:vAlign w:val="center"/>
          </w:tcPr>
          <w:p w:rsidR="00A06DB4" w:rsidRDefault="001D0AC8">
            <w:pPr>
              <w:jc w:val="center"/>
            </w:pPr>
            <w:r>
              <w:rPr>
                <w:color w:val="000000"/>
                <w:sz w:val="24"/>
              </w:rPr>
              <w:t>136535</w:t>
            </w:r>
          </w:p>
        </w:tc>
        <w:tc>
          <w:tcPr>
            <w:tcW w:w="1985" w:type="dxa"/>
            <w:vAlign w:val="center"/>
          </w:tcPr>
          <w:p w:rsidR="00A06DB4" w:rsidRDefault="001D0AC8">
            <w:pPr>
              <w:jc w:val="center"/>
            </w:pPr>
            <w:r>
              <w:rPr>
                <w:color w:val="000000"/>
                <w:sz w:val="24"/>
              </w:rPr>
              <w:t>16</w:t>
            </w:r>
            <w:r>
              <w:rPr>
                <w:color w:val="000000"/>
                <w:sz w:val="24"/>
              </w:rPr>
              <w:t>万达</w:t>
            </w:r>
            <w:r>
              <w:rPr>
                <w:color w:val="000000"/>
                <w:sz w:val="24"/>
              </w:rPr>
              <w:t>05</w:t>
            </w:r>
          </w:p>
        </w:tc>
        <w:tc>
          <w:tcPr>
            <w:tcW w:w="1559" w:type="dxa"/>
            <w:vAlign w:val="center"/>
          </w:tcPr>
          <w:p w:rsidR="00A06DB4" w:rsidRDefault="001D0AC8">
            <w:pPr>
              <w:jc w:val="right"/>
            </w:pPr>
            <w:r>
              <w:rPr>
                <w:color w:val="000000"/>
                <w:sz w:val="24"/>
              </w:rPr>
              <w:t>700,000</w:t>
            </w:r>
          </w:p>
        </w:tc>
        <w:tc>
          <w:tcPr>
            <w:tcW w:w="2126" w:type="dxa"/>
            <w:vAlign w:val="center"/>
          </w:tcPr>
          <w:p w:rsidR="00A06DB4" w:rsidRDefault="001D0AC8">
            <w:pPr>
              <w:jc w:val="right"/>
            </w:pPr>
            <w:r>
              <w:rPr>
                <w:color w:val="000000"/>
                <w:sz w:val="24"/>
              </w:rPr>
              <w:t>70,609,000.00</w:t>
            </w:r>
          </w:p>
        </w:tc>
        <w:tc>
          <w:tcPr>
            <w:tcW w:w="990" w:type="dxa"/>
            <w:vAlign w:val="center"/>
          </w:tcPr>
          <w:p w:rsidR="00A06DB4" w:rsidRDefault="001D0AC8">
            <w:pPr>
              <w:jc w:val="right"/>
            </w:pPr>
            <w:r>
              <w:rPr>
                <w:color w:val="000000"/>
                <w:sz w:val="24"/>
              </w:rPr>
              <w:t>6.12</w:t>
            </w:r>
          </w:p>
        </w:tc>
      </w:tr>
      <w:tr w:rsidR="00A06DB4">
        <w:tc>
          <w:tcPr>
            <w:tcW w:w="802" w:type="dxa"/>
            <w:vAlign w:val="center"/>
          </w:tcPr>
          <w:p w:rsidR="00A06DB4" w:rsidRDefault="001D0AC8">
            <w:pPr>
              <w:jc w:val="center"/>
            </w:pPr>
            <w:r>
              <w:rPr>
                <w:color w:val="000000"/>
                <w:sz w:val="24"/>
              </w:rPr>
              <w:t>3</w:t>
            </w:r>
          </w:p>
        </w:tc>
        <w:tc>
          <w:tcPr>
            <w:tcW w:w="1559" w:type="dxa"/>
            <w:vAlign w:val="center"/>
          </w:tcPr>
          <w:p w:rsidR="00A06DB4" w:rsidRDefault="001D0AC8">
            <w:pPr>
              <w:jc w:val="center"/>
            </w:pPr>
            <w:r>
              <w:rPr>
                <w:color w:val="000000"/>
                <w:sz w:val="24"/>
              </w:rPr>
              <w:t>101773021</w:t>
            </w:r>
          </w:p>
        </w:tc>
        <w:tc>
          <w:tcPr>
            <w:tcW w:w="1985" w:type="dxa"/>
            <w:vAlign w:val="center"/>
          </w:tcPr>
          <w:p w:rsidR="00A06DB4" w:rsidRDefault="001D0AC8">
            <w:pPr>
              <w:jc w:val="center"/>
            </w:pPr>
            <w:r>
              <w:rPr>
                <w:color w:val="000000"/>
                <w:sz w:val="24"/>
              </w:rPr>
              <w:t>17</w:t>
            </w:r>
            <w:r>
              <w:rPr>
                <w:color w:val="000000"/>
                <w:sz w:val="24"/>
              </w:rPr>
              <w:t>华远地产</w:t>
            </w:r>
            <w:r>
              <w:rPr>
                <w:color w:val="000000"/>
                <w:sz w:val="24"/>
              </w:rPr>
              <w:t>MTN001</w:t>
            </w:r>
          </w:p>
        </w:tc>
        <w:tc>
          <w:tcPr>
            <w:tcW w:w="1559" w:type="dxa"/>
            <w:vAlign w:val="center"/>
          </w:tcPr>
          <w:p w:rsidR="00A06DB4" w:rsidRDefault="001D0AC8">
            <w:pPr>
              <w:jc w:val="right"/>
            </w:pPr>
            <w:r>
              <w:rPr>
                <w:color w:val="000000"/>
                <w:sz w:val="24"/>
              </w:rPr>
              <w:t>600,000</w:t>
            </w:r>
          </w:p>
        </w:tc>
        <w:tc>
          <w:tcPr>
            <w:tcW w:w="2126" w:type="dxa"/>
            <w:vAlign w:val="center"/>
          </w:tcPr>
          <w:p w:rsidR="00A06DB4" w:rsidRDefault="001D0AC8">
            <w:pPr>
              <w:jc w:val="right"/>
            </w:pPr>
            <w:r>
              <w:rPr>
                <w:color w:val="000000"/>
                <w:sz w:val="24"/>
              </w:rPr>
              <w:t>61,386,000.00</w:t>
            </w:r>
          </w:p>
        </w:tc>
        <w:tc>
          <w:tcPr>
            <w:tcW w:w="990" w:type="dxa"/>
            <w:vAlign w:val="center"/>
          </w:tcPr>
          <w:p w:rsidR="00A06DB4" w:rsidRDefault="001D0AC8">
            <w:pPr>
              <w:jc w:val="right"/>
            </w:pPr>
            <w:r>
              <w:rPr>
                <w:color w:val="000000"/>
                <w:sz w:val="24"/>
              </w:rPr>
              <w:t>5.32</w:t>
            </w:r>
          </w:p>
        </w:tc>
      </w:tr>
      <w:tr w:rsidR="00A06DB4">
        <w:tc>
          <w:tcPr>
            <w:tcW w:w="802" w:type="dxa"/>
            <w:vAlign w:val="center"/>
          </w:tcPr>
          <w:p w:rsidR="00A06DB4" w:rsidRDefault="001D0AC8">
            <w:pPr>
              <w:jc w:val="center"/>
            </w:pPr>
            <w:r>
              <w:rPr>
                <w:color w:val="000000"/>
                <w:sz w:val="24"/>
              </w:rPr>
              <w:t>4</w:t>
            </w:r>
          </w:p>
        </w:tc>
        <w:tc>
          <w:tcPr>
            <w:tcW w:w="1559" w:type="dxa"/>
            <w:vAlign w:val="center"/>
          </w:tcPr>
          <w:p w:rsidR="00A06DB4" w:rsidRDefault="001D0AC8">
            <w:pPr>
              <w:jc w:val="center"/>
            </w:pPr>
            <w:r>
              <w:rPr>
                <w:color w:val="000000"/>
                <w:sz w:val="24"/>
              </w:rPr>
              <w:t>136806</w:t>
            </w:r>
          </w:p>
        </w:tc>
        <w:tc>
          <w:tcPr>
            <w:tcW w:w="1985" w:type="dxa"/>
            <w:vAlign w:val="center"/>
          </w:tcPr>
          <w:p w:rsidR="00A06DB4" w:rsidRDefault="001D0AC8">
            <w:pPr>
              <w:jc w:val="center"/>
            </w:pPr>
            <w:r>
              <w:rPr>
                <w:color w:val="000000"/>
                <w:sz w:val="24"/>
              </w:rPr>
              <w:t>16</w:t>
            </w:r>
            <w:r>
              <w:rPr>
                <w:color w:val="000000"/>
                <w:sz w:val="24"/>
              </w:rPr>
              <w:t>越交</w:t>
            </w:r>
            <w:r>
              <w:rPr>
                <w:color w:val="000000"/>
                <w:sz w:val="24"/>
              </w:rPr>
              <w:t>04</w:t>
            </w:r>
          </w:p>
        </w:tc>
        <w:tc>
          <w:tcPr>
            <w:tcW w:w="1559" w:type="dxa"/>
            <w:vAlign w:val="center"/>
          </w:tcPr>
          <w:p w:rsidR="00A06DB4" w:rsidRDefault="001D0AC8">
            <w:pPr>
              <w:jc w:val="right"/>
            </w:pPr>
            <w:r>
              <w:rPr>
                <w:color w:val="000000"/>
                <w:sz w:val="24"/>
              </w:rPr>
              <w:t>600,000</w:t>
            </w:r>
          </w:p>
        </w:tc>
        <w:tc>
          <w:tcPr>
            <w:tcW w:w="2126" w:type="dxa"/>
            <w:vAlign w:val="center"/>
          </w:tcPr>
          <w:p w:rsidR="00A06DB4" w:rsidRDefault="001D0AC8">
            <w:pPr>
              <w:jc w:val="right"/>
            </w:pPr>
            <w:r>
              <w:rPr>
                <w:color w:val="000000"/>
                <w:sz w:val="24"/>
              </w:rPr>
              <w:t>59,568,000.00</w:t>
            </w:r>
          </w:p>
        </w:tc>
        <w:tc>
          <w:tcPr>
            <w:tcW w:w="990" w:type="dxa"/>
            <w:vAlign w:val="center"/>
          </w:tcPr>
          <w:p w:rsidR="00A06DB4" w:rsidRDefault="001D0AC8">
            <w:pPr>
              <w:jc w:val="right"/>
            </w:pPr>
            <w:r>
              <w:rPr>
                <w:color w:val="000000"/>
                <w:sz w:val="24"/>
              </w:rPr>
              <w:t>5.16</w:t>
            </w:r>
          </w:p>
        </w:tc>
      </w:tr>
      <w:tr w:rsidR="00A06DB4">
        <w:tc>
          <w:tcPr>
            <w:tcW w:w="802" w:type="dxa"/>
            <w:vAlign w:val="center"/>
          </w:tcPr>
          <w:p w:rsidR="00A06DB4" w:rsidRDefault="001D0AC8">
            <w:pPr>
              <w:jc w:val="center"/>
            </w:pPr>
            <w:r>
              <w:rPr>
                <w:color w:val="000000"/>
                <w:sz w:val="24"/>
              </w:rPr>
              <w:t>5</w:t>
            </w:r>
          </w:p>
        </w:tc>
        <w:tc>
          <w:tcPr>
            <w:tcW w:w="1559" w:type="dxa"/>
            <w:vAlign w:val="center"/>
          </w:tcPr>
          <w:p w:rsidR="00A06DB4" w:rsidRDefault="001D0AC8">
            <w:pPr>
              <w:jc w:val="center"/>
            </w:pPr>
            <w:r>
              <w:rPr>
                <w:color w:val="000000"/>
                <w:sz w:val="24"/>
              </w:rPr>
              <w:t>143450</w:t>
            </w:r>
          </w:p>
        </w:tc>
        <w:tc>
          <w:tcPr>
            <w:tcW w:w="1985" w:type="dxa"/>
            <w:vAlign w:val="center"/>
          </w:tcPr>
          <w:p w:rsidR="00A06DB4" w:rsidRDefault="001D0AC8">
            <w:pPr>
              <w:jc w:val="center"/>
            </w:pPr>
            <w:r>
              <w:rPr>
                <w:color w:val="000000"/>
                <w:sz w:val="24"/>
              </w:rPr>
              <w:t>18</w:t>
            </w:r>
            <w:r>
              <w:rPr>
                <w:color w:val="000000"/>
                <w:sz w:val="24"/>
              </w:rPr>
              <w:t>绿城</w:t>
            </w:r>
            <w:r>
              <w:rPr>
                <w:color w:val="000000"/>
                <w:sz w:val="24"/>
              </w:rPr>
              <w:t>01</w:t>
            </w:r>
          </w:p>
        </w:tc>
        <w:tc>
          <w:tcPr>
            <w:tcW w:w="1559" w:type="dxa"/>
            <w:vAlign w:val="center"/>
          </w:tcPr>
          <w:p w:rsidR="00A06DB4" w:rsidRDefault="001D0AC8">
            <w:pPr>
              <w:jc w:val="right"/>
            </w:pPr>
            <w:r>
              <w:rPr>
                <w:color w:val="000000"/>
                <w:sz w:val="24"/>
              </w:rPr>
              <w:t>500,000</w:t>
            </w:r>
          </w:p>
        </w:tc>
        <w:tc>
          <w:tcPr>
            <w:tcW w:w="2126" w:type="dxa"/>
            <w:vAlign w:val="center"/>
          </w:tcPr>
          <w:p w:rsidR="00A06DB4" w:rsidRDefault="001D0AC8">
            <w:pPr>
              <w:jc w:val="right"/>
            </w:pPr>
            <w:r>
              <w:rPr>
                <w:color w:val="000000"/>
                <w:sz w:val="24"/>
              </w:rPr>
              <w:t>52,460,000.00</w:t>
            </w:r>
          </w:p>
        </w:tc>
        <w:tc>
          <w:tcPr>
            <w:tcW w:w="990" w:type="dxa"/>
            <w:vAlign w:val="center"/>
          </w:tcPr>
          <w:p w:rsidR="00A06DB4" w:rsidRDefault="001D0AC8">
            <w:pPr>
              <w:jc w:val="right"/>
            </w:pPr>
            <w:r>
              <w:rPr>
                <w:color w:val="000000"/>
                <w:sz w:val="24"/>
              </w:rPr>
              <w:t>4.54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A06DB4">
        <w:tc>
          <w:tcPr>
            <w:tcW w:w="0" w:type="auto"/>
            <w:vAlign w:val="center"/>
          </w:tcPr>
          <w:p w:rsidR="00A06DB4" w:rsidRDefault="001D0AC8">
            <w:pPr>
              <w:jc w:val="center"/>
            </w:pPr>
            <w:r>
              <w:rPr>
                <w:color w:val="000000"/>
                <w:sz w:val="24"/>
              </w:rPr>
              <w:lastRenderedPageBreak/>
              <w:t>1</w:t>
            </w:r>
          </w:p>
        </w:tc>
        <w:tc>
          <w:tcPr>
            <w:tcW w:w="0" w:type="auto"/>
            <w:vAlign w:val="center"/>
          </w:tcPr>
          <w:p w:rsidR="00A06DB4" w:rsidRDefault="001D0AC8">
            <w:pPr>
              <w:jc w:val="center"/>
            </w:pPr>
            <w:r>
              <w:rPr>
                <w:color w:val="000000"/>
                <w:sz w:val="24"/>
              </w:rPr>
              <w:t>156636</w:t>
            </w:r>
          </w:p>
        </w:tc>
        <w:tc>
          <w:tcPr>
            <w:tcW w:w="0" w:type="auto"/>
            <w:vAlign w:val="center"/>
          </w:tcPr>
          <w:p w:rsidR="00A06DB4" w:rsidRDefault="001D0AC8">
            <w:pPr>
              <w:jc w:val="center"/>
            </w:pPr>
            <w:r>
              <w:rPr>
                <w:color w:val="000000"/>
                <w:sz w:val="24"/>
              </w:rPr>
              <w:t>19</w:t>
            </w:r>
            <w:r>
              <w:rPr>
                <w:color w:val="000000"/>
                <w:sz w:val="24"/>
              </w:rPr>
              <w:t>裕源</w:t>
            </w:r>
            <w:r>
              <w:rPr>
                <w:color w:val="000000"/>
                <w:sz w:val="24"/>
              </w:rPr>
              <w:t>03</w:t>
            </w:r>
          </w:p>
        </w:tc>
        <w:tc>
          <w:tcPr>
            <w:tcW w:w="0" w:type="auto"/>
            <w:vAlign w:val="center"/>
          </w:tcPr>
          <w:p w:rsidR="00A06DB4" w:rsidRDefault="001D0AC8">
            <w:pPr>
              <w:jc w:val="right"/>
            </w:pPr>
            <w:r>
              <w:rPr>
                <w:color w:val="000000"/>
                <w:sz w:val="24"/>
              </w:rPr>
              <w:t>100,000</w:t>
            </w:r>
          </w:p>
        </w:tc>
        <w:tc>
          <w:tcPr>
            <w:tcW w:w="0" w:type="auto"/>
            <w:vAlign w:val="center"/>
          </w:tcPr>
          <w:p w:rsidR="00A06DB4" w:rsidRDefault="001D0AC8">
            <w:pPr>
              <w:jc w:val="right"/>
            </w:pPr>
            <w:r>
              <w:rPr>
                <w:color w:val="000000"/>
                <w:sz w:val="24"/>
              </w:rPr>
              <w:t>10,012,000.00</w:t>
            </w:r>
          </w:p>
        </w:tc>
        <w:tc>
          <w:tcPr>
            <w:tcW w:w="0" w:type="auto"/>
            <w:vAlign w:val="center"/>
          </w:tcPr>
          <w:p w:rsidR="00A06DB4" w:rsidRDefault="001D0AC8">
            <w:pPr>
              <w:jc w:val="right"/>
            </w:pPr>
            <w:r>
              <w:rPr>
                <w:color w:val="000000"/>
                <w:sz w:val="24"/>
              </w:rPr>
              <w:t>0.87</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33,850.74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37,034,927.46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37,068,778.20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易方达恒久</w:t>
            </w:r>
            <w:r w:rsidRPr="00FA472B">
              <w:rPr>
                <w:sz w:val="24"/>
              </w:rPr>
              <w:t>1</w:t>
            </w:r>
            <w:r w:rsidRPr="00FA472B">
              <w:rPr>
                <w:sz w:val="24"/>
              </w:rPr>
              <w:t>年定期债券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易方达恒久</w:t>
            </w:r>
            <w:r w:rsidRPr="00FA472B">
              <w:rPr>
                <w:sz w:val="24"/>
              </w:rPr>
              <w:t>1</w:t>
            </w:r>
            <w:r w:rsidRPr="00FA472B">
              <w:rPr>
                <w:sz w:val="24"/>
              </w:rPr>
              <w:t>年定期债券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882,211,858.60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22,779,188.52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418,962,151.35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13,495,283.37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229,675,421.07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10,921,359.41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1,071,498,588.88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25,353,112.48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A06DB4">
        <w:trPr>
          <w:jc w:val="center"/>
        </w:trPr>
        <w:tc>
          <w:tcPr>
            <w:tcW w:w="709" w:type="dxa"/>
            <w:vMerge w:val="restart"/>
            <w:vAlign w:val="center"/>
          </w:tcPr>
          <w:p w:rsidR="00A06DB4" w:rsidRDefault="001D0AC8">
            <w:r>
              <w:rPr>
                <w:rFonts w:eastAsiaTheme="minorEastAsia"/>
                <w:bCs/>
                <w:color w:val="000000" w:themeColor="text1"/>
                <w:sz w:val="24"/>
              </w:rPr>
              <w:t>机构</w:t>
            </w:r>
          </w:p>
        </w:tc>
        <w:tc>
          <w:tcPr>
            <w:tcW w:w="709" w:type="dxa"/>
            <w:vAlign w:val="center"/>
          </w:tcPr>
          <w:p w:rsidR="00A06DB4" w:rsidRDefault="001D0AC8">
            <w:pPr>
              <w:jc w:val="center"/>
            </w:pPr>
            <w:r>
              <w:rPr>
                <w:sz w:val="24"/>
              </w:rPr>
              <w:t>1</w:t>
            </w:r>
          </w:p>
        </w:tc>
        <w:tc>
          <w:tcPr>
            <w:tcW w:w="2126" w:type="dxa"/>
            <w:vAlign w:val="center"/>
          </w:tcPr>
          <w:p w:rsidR="00A06DB4" w:rsidRDefault="001D0AC8">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A06DB4" w:rsidRDefault="001D0AC8">
            <w:pPr>
              <w:jc w:val="center"/>
            </w:pPr>
            <w:r>
              <w:rPr>
                <w:sz w:val="24"/>
              </w:rPr>
              <w:t>750,000,000.00</w:t>
            </w:r>
          </w:p>
        </w:tc>
        <w:tc>
          <w:tcPr>
            <w:tcW w:w="1276" w:type="dxa"/>
            <w:vAlign w:val="center"/>
          </w:tcPr>
          <w:p w:rsidR="00A06DB4" w:rsidRDefault="001D0AC8">
            <w:pPr>
              <w:jc w:val="center"/>
            </w:pPr>
            <w:r>
              <w:rPr>
                <w:sz w:val="24"/>
              </w:rPr>
              <w:t>-</w:t>
            </w:r>
          </w:p>
        </w:tc>
        <w:tc>
          <w:tcPr>
            <w:tcW w:w="1276" w:type="dxa"/>
            <w:vAlign w:val="center"/>
          </w:tcPr>
          <w:p w:rsidR="00A06DB4" w:rsidRDefault="001D0AC8">
            <w:pPr>
              <w:jc w:val="center"/>
            </w:pPr>
            <w:r>
              <w:rPr>
                <w:sz w:val="24"/>
              </w:rPr>
              <w:t>200,000,000.00</w:t>
            </w:r>
          </w:p>
        </w:tc>
        <w:tc>
          <w:tcPr>
            <w:tcW w:w="1417" w:type="dxa"/>
            <w:vAlign w:val="center"/>
          </w:tcPr>
          <w:p w:rsidR="00A06DB4" w:rsidRDefault="001D0AC8">
            <w:pPr>
              <w:jc w:val="center"/>
            </w:pPr>
            <w:r>
              <w:rPr>
                <w:sz w:val="24"/>
              </w:rPr>
              <w:t>550,000,000.00</w:t>
            </w:r>
          </w:p>
        </w:tc>
        <w:tc>
          <w:tcPr>
            <w:tcW w:w="851" w:type="dxa"/>
            <w:vAlign w:val="center"/>
          </w:tcPr>
          <w:p w:rsidR="00A06DB4" w:rsidRDefault="001D0AC8">
            <w:pPr>
              <w:jc w:val="center"/>
            </w:pPr>
            <w:r>
              <w:rPr>
                <w:sz w:val="24"/>
              </w:rPr>
              <w:t>50.14%</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w:t>
            </w:r>
            <w:r w:rsidRPr="00FC0759">
              <w:rPr>
                <w:sz w:val="24"/>
              </w:rPr>
              <w:lastRenderedPageBreak/>
              <w:t>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A06DB4" w:rsidRDefault="001D0AC8">
      <w:pPr>
        <w:spacing w:line="360" w:lineRule="auto"/>
        <w:ind w:firstLineChars="200" w:firstLine="480"/>
        <w:rPr>
          <w:color w:val="000000"/>
          <w:sz w:val="24"/>
        </w:rPr>
      </w:pPr>
      <w:r>
        <w:rPr>
          <w:color w:val="000000"/>
          <w:sz w:val="24"/>
        </w:rPr>
        <w:t>1.</w:t>
      </w:r>
      <w:r>
        <w:rPr>
          <w:color w:val="000000"/>
          <w:sz w:val="24"/>
        </w:rPr>
        <w:t>中国证监会注册易方达恒久添利</w:t>
      </w:r>
      <w:r>
        <w:rPr>
          <w:color w:val="000000"/>
          <w:sz w:val="24"/>
        </w:rPr>
        <w:t>1</w:t>
      </w:r>
      <w:r>
        <w:rPr>
          <w:color w:val="000000"/>
          <w:sz w:val="24"/>
        </w:rPr>
        <w:t>年定期开放债券型证券投资基金募集的文件；</w:t>
      </w:r>
    </w:p>
    <w:p w:rsidR="00A06DB4" w:rsidRDefault="001D0AC8">
      <w:pPr>
        <w:spacing w:line="360" w:lineRule="auto"/>
        <w:ind w:firstLineChars="200" w:firstLine="480"/>
        <w:rPr>
          <w:color w:val="000000"/>
          <w:sz w:val="24"/>
        </w:rPr>
      </w:pPr>
      <w:r>
        <w:rPr>
          <w:color w:val="000000"/>
          <w:sz w:val="24"/>
        </w:rPr>
        <w:t>2.</w:t>
      </w:r>
      <w:r>
        <w:rPr>
          <w:color w:val="000000"/>
          <w:sz w:val="24"/>
        </w:rPr>
        <w:t>《易方达恒久添利</w:t>
      </w:r>
      <w:r>
        <w:rPr>
          <w:color w:val="000000"/>
          <w:sz w:val="24"/>
        </w:rPr>
        <w:t>1</w:t>
      </w:r>
      <w:r>
        <w:rPr>
          <w:color w:val="000000"/>
          <w:sz w:val="24"/>
        </w:rPr>
        <w:t>年定期开放债券型证券投资基金基金合同》；</w:t>
      </w:r>
    </w:p>
    <w:p w:rsidR="00A06DB4" w:rsidRDefault="001D0AC8">
      <w:pPr>
        <w:spacing w:line="360" w:lineRule="auto"/>
        <w:ind w:firstLineChars="200" w:firstLine="480"/>
        <w:rPr>
          <w:color w:val="000000"/>
          <w:sz w:val="24"/>
        </w:rPr>
      </w:pPr>
      <w:r>
        <w:rPr>
          <w:color w:val="000000"/>
          <w:sz w:val="24"/>
        </w:rPr>
        <w:t>3.</w:t>
      </w:r>
      <w:r>
        <w:rPr>
          <w:color w:val="000000"/>
          <w:sz w:val="24"/>
        </w:rPr>
        <w:t>《易方达恒久添利</w:t>
      </w:r>
      <w:r>
        <w:rPr>
          <w:color w:val="000000"/>
          <w:sz w:val="24"/>
        </w:rPr>
        <w:t>1</w:t>
      </w:r>
      <w:r>
        <w:rPr>
          <w:color w:val="000000"/>
          <w:sz w:val="24"/>
        </w:rPr>
        <w:t>年定期开放债券型证券投资基金托管协议》；</w:t>
      </w:r>
    </w:p>
    <w:p w:rsidR="00A06DB4" w:rsidRDefault="001D0AC8">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1D0AC8">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1D0AC8">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1D0AC8">
      <w:rPr>
        <w:rStyle w:val="a7"/>
        <w:noProof/>
      </w:rPr>
      <w:t>12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易方达恒久添利</w:t>
    </w:r>
    <w:r w:rsidRPr="00DA451D">
      <w:t>1</w:t>
    </w:r>
    <w:r w:rsidRPr="00DA451D">
      <w:t>年定期开放债券型证券投资基金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AC8"/>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06DB4"/>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B8B77B4-1308-491C-879A-D8E5F8B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999</Words>
  <Characters>5697</Characters>
  <Application>Microsoft Office Word</Application>
  <DocSecurity>0</DocSecurity>
  <Lines>47</Lines>
  <Paragraphs>13</Paragraphs>
  <ScaleCrop>false</ScaleCrop>
  <Company>TRT. Ltd. Co.</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