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易方达投资级信用债债券型证券投资基金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中国农业银行股份有限公司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063BCC" w:rsidRDefault="00C77653">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63BCC" w:rsidRDefault="00C77653">
      <w:pPr>
        <w:spacing w:line="360"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63BCC" w:rsidRDefault="00C77653">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63BCC" w:rsidRDefault="00C77653">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063BCC" w:rsidRDefault="00C77653">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易方达投资级信用债债券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000205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2013</w:t>
            </w:r>
            <w:r w:rsidRPr="00C30CFF">
              <w:rPr>
                <w:color w:val="000000"/>
                <w:kern w:val="0"/>
                <w:sz w:val="24"/>
              </w:rPr>
              <w:t>年</w:t>
            </w:r>
            <w:r w:rsidRPr="00C30CFF">
              <w:rPr>
                <w:color w:val="000000"/>
                <w:kern w:val="0"/>
                <w:sz w:val="24"/>
              </w:rPr>
              <w:t>9</w:t>
            </w:r>
            <w:r w:rsidRPr="00C30CFF">
              <w:rPr>
                <w:color w:val="000000"/>
                <w:kern w:val="0"/>
                <w:sz w:val="24"/>
              </w:rPr>
              <w:t>月</w:t>
            </w:r>
            <w:r w:rsidRPr="00C30CFF">
              <w:rPr>
                <w:color w:val="000000"/>
                <w:kern w:val="0"/>
                <w:sz w:val="24"/>
              </w:rPr>
              <w:t>10</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2,132,077,136.59</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本基金主要投资于投资级信用债券，力争获得高于业绩比较基准的投资收益。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采取积极管理的投资策略，在分析和判断宏观经济运行状况和金融市场运行趋势的基础上，确定和动态调整投资级信用债券、非投资级信用债券、利率债券和银行存款等资产类别的配置比例；自上而下地决定债券组合久期及类属配置；同时在严谨深入的信用分析的基础上，自下而上地精选个券，</w:t>
            </w:r>
            <w:r w:rsidRPr="00C30CFF">
              <w:rPr>
                <w:color w:val="000000"/>
                <w:kern w:val="0"/>
                <w:sz w:val="24"/>
              </w:rPr>
              <w:lastRenderedPageBreak/>
              <w:t>力争获得超越业绩比较基准的投资回报。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中债高信用等级债券财富指数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中国农业银行股份有限公司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易方达投资级信用债债券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易方达投资级信用债债券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000205</w:t>
            </w:r>
          </w:p>
        </w:tc>
        <w:tc>
          <w:tcPr>
            <w:tcW w:w="2790" w:type="dxa"/>
            <w:vAlign w:val="center"/>
          </w:tcPr>
          <w:p w:rsidR="00F016DD" w:rsidRPr="00C30CFF" w:rsidRDefault="00F016DD" w:rsidP="00950413">
            <w:pPr>
              <w:jc w:val="left"/>
              <w:rPr>
                <w:color w:val="000000"/>
                <w:sz w:val="24"/>
              </w:rPr>
            </w:pPr>
            <w:r w:rsidRPr="00C30CFF">
              <w:rPr>
                <w:color w:val="000000"/>
                <w:sz w:val="24"/>
              </w:rPr>
              <w:t>000206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1,706,970,805.91</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425,106,330.68</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易方达投资级信用债债券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易方达投资级信用债债券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22,737,792.86</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3,970,380.99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22,709,798.73</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3,656,237.74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0.0147</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0.0125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1,949,198,666.24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484,701,323.25</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1.142</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1.140</w:t>
            </w:r>
          </w:p>
        </w:tc>
      </w:tr>
    </w:tbl>
    <w:p w:rsidR="00063BCC" w:rsidRDefault="00C77653">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lastRenderedPageBreak/>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易方达投资级信用债债券A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63BCC">
        <w:tc>
          <w:tcPr>
            <w:tcW w:w="1290" w:type="dxa"/>
            <w:vAlign w:val="center"/>
          </w:tcPr>
          <w:p w:rsidR="00063BCC" w:rsidRDefault="00C77653">
            <w:pPr>
              <w:jc w:val="left"/>
            </w:pPr>
            <w:r>
              <w:rPr>
                <w:color w:val="000000"/>
                <w:sz w:val="24"/>
              </w:rPr>
              <w:t>过去三个月</w:t>
            </w:r>
          </w:p>
        </w:tc>
        <w:tc>
          <w:tcPr>
            <w:tcW w:w="1291" w:type="dxa"/>
            <w:vAlign w:val="center"/>
          </w:tcPr>
          <w:p w:rsidR="00063BCC" w:rsidRDefault="00C77653">
            <w:pPr>
              <w:jc w:val="center"/>
            </w:pPr>
            <w:r>
              <w:rPr>
                <w:color w:val="000000"/>
                <w:sz w:val="24"/>
              </w:rPr>
              <w:t>1.42%</w:t>
            </w:r>
          </w:p>
        </w:tc>
        <w:tc>
          <w:tcPr>
            <w:tcW w:w="1291" w:type="dxa"/>
            <w:vAlign w:val="center"/>
          </w:tcPr>
          <w:p w:rsidR="00063BCC" w:rsidRDefault="00C77653">
            <w:pPr>
              <w:jc w:val="center"/>
            </w:pPr>
            <w:r>
              <w:rPr>
                <w:color w:val="000000"/>
                <w:sz w:val="24"/>
              </w:rPr>
              <w:t>0.05%</w:t>
            </w:r>
          </w:p>
        </w:tc>
        <w:tc>
          <w:tcPr>
            <w:tcW w:w="1291" w:type="dxa"/>
            <w:vAlign w:val="center"/>
          </w:tcPr>
          <w:p w:rsidR="00063BCC" w:rsidRDefault="00C77653">
            <w:pPr>
              <w:jc w:val="center"/>
            </w:pPr>
            <w:r>
              <w:rPr>
                <w:color w:val="000000"/>
                <w:sz w:val="24"/>
              </w:rPr>
              <w:t>1.46%</w:t>
            </w:r>
          </w:p>
        </w:tc>
        <w:tc>
          <w:tcPr>
            <w:tcW w:w="1291" w:type="dxa"/>
            <w:vAlign w:val="center"/>
          </w:tcPr>
          <w:p w:rsidR="00063BCC" w:rsidRDefault="00C77653">
            <w:pPr>
              <w:jc w:val="center"/>
            </w:pPr>
            <w:r>
              <w:rPr>
                <w:color w:val="000000"/>
                <w:sz w:val="24"/>
              </w:rPr>
              <w:t>0.02%</w:t>
            </w:r>
          </w:p>
        </w:tc>
        <w:tc>
          <w:tcPr>
            <w:tcW w:w="1291" w:type="dxa"/>
            <w:vAlign w:val="center"/>
          </w:tcPr>
          <w:p w:rsidR="00063BCC" w:rsidRDefault="00C77653">
            <w:pPr>
              <w:jc w:val="center"/>
            </w:pPr>
            <w:r>
              <w:rPr>
                <w:color w:val="000000"/>
                <w:sz w:val="24"/>
              </w:rPr>
              <w:t>-0.04%</w:t>
            </w:r>
          </w:p>
        </w:tc>
        <w:tc>
          <w:tcPr>
            <w:tcW w:w="1291" w:type="dxa"/>
            <w:vAlign w:val="center"/>
          </w:tcPr>
          <w:p w:rsidR="00063BCC" w:rsidRDefault="00C77653">
            <w:pPr>
              <w:jc w:val="center"/>
            </w:pPr>
            <w:r>
              <w:rPr>
                <w:color w:val="000000"/>
                <w:sz w:val="24"/>
              </w:rPr>
              <w:t>0.03%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易方达投资级信用债债券C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63BCC">
        <w:tc>
          <w:tcPr>
            <w:tcW w:w="1290" w:type="dxa"/>
            <w:vAlign w:val="center"/>
          </w:tcPr>
          <w:p w:rsidR="00063BCC" w:rsidRDefault="00C77653">
            <w:pPr>
              <w:jc w:val="left"/>
            </w:pPr>
            <w:r>
              <w:rPr>
                <w:color w:val="000000"/>
                <w:sz w:val="24"/>
              </w:rPr>
              <w:t>过去三个月</w:t>
            </w:r>
          </w:p>
        </w:tc>
        <w:tc>
          <w:tcPr>
            <w:tcW w:w="1291" w:type="dxa"/>
            <w:vAlign w:val="center"/>
          </w:tcPr>
          <w:p w:rsidR="00063BCC" w:rsidRDefault="00C77653">
            <w:pPr>
              <w:jc w:val="center"/>
            </w:pPr>
            <w:r>
              <w:rPr>
                <w:color w:val="000000"/>
                <w:sz w:val="24"/>
              </w:rPr>
              <w:t>1.33%</w:t>
            </w:r>
          </w:p>
        </w:tc>
        <w:tc>
          <w:tcPr>
            <w:tcW w:w="1291" w:type="dxa"/>
            <w:vAlign w:val="center"/>
          </w:tcPr>
          <w:p w:rsidR="00063BCC" w:rsidRDefault="00C77653">
            <w:pPr>
              <w:jc w:val="center"/>
            </w:pPr>
            <w:r>
              <w:rPr>
                <w:color w:val="000000"/>
                <w:sz w:val="24"/>
              </w:rPr>
              <w:t>0.05%</w:t>
            </w:r>
          </w:p>
        </w:tc>
        <w:tc>
          <w:tcPr>
            <w:tcW w:w="1291" w:type="dxa"/>
            <w:vAlign w:val="center"/>
          </w:tcPr>
          <w:p w:rsidR="00063BCC" w:rsidRDefault="00C77653">
            <w:pPr>
              <w:jc w:val="center"/>
            </w:pPr>
            <w:r>
              <w:rPr>
                <w:color w:val="000000"/>
                <w:sz w:val="24"/>
              </w:rPr>
              <w:t>1.46%</w:t>
            </w:r>
          </w:p>
        </w:tc>
        <w:tc>
          <w:tcPr>
            <w:tcW w:w="1291" w:type="dxa"/>
            <w:vAlign w:val="center"/>
          </w:tcPr>
          <w:p w:rsidR="00063BCC" w:rsidRDefault="00C77653">
            <w:pPr>
              <w:jc w:val="center"/>
            </w:pPr>
            <w:r>
              <w:rPr>
                <w:color w:val="000000"/>
                <w:sz w:val="24"/>
              </w:rPr>
              <w:t>0.02%</w:t>
            </w:r>
          </w:p>
        </w:tc>
        <w:tc>
          <w:tcPr>
            <w:tcW w:w="1291" w:type="dxa"/>
            <w:vAlign w:val="center"/>
          </w:tcPr>
          <w:p w:rsidR="00063BCC" w:rsidRDefault="00C77653">
            <w:pPr>
              <w:jc w:val="center"/>
            </w:pPr>
            <w:r>
              <w:rPr>
                <w:color w:val="000000"/>
                <w:sz w:val="24"/>
              </w:rPr>
              <w:t>-0.13%</w:t>
            </w:r>
          </w:p>
        </w:tc>
        <w:tc>
          <w:tcPr>
            <w:tcW w:w="1291" w:type="dxa"/>
            <w:vAlign w:val="center"/>
          </w:tcPr>
          <w:p w:rsidR="00063BCC" w:rsidRDefault="00C77653">
            <w:pPr>
              <w:jc w:val="center"/>
            </w:pPr>
            <w:r>
              <w:rPr>
                <w:color w:val="000000"/>
                <w:sz w:val="24"/>
              </w:rPr>
              <w:t>0.03%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易方达投资级信用债债券型证券投资基金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(2013</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10</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易方达投资级信用债债券</w:t>
      </w:r>
      <w:r w:rsidRPr="00611CB2">
        <w:rPr>
          <w:color w:val="000000"/>
          <w:sz w:val="24"/>
        </w:rPr>
        <w:t>A</w:t>
      </w:r>
    </w:p>
    <w:p w:rsidR="00F016DD" w:rsidRPr="0078105B" w:rsidRDefault="00C77653"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易方达投资级信用债债券</w:t>
      </w:r>
      <w:r w:rsidRPr="00611CB2">
        <w:rPr>
          <w:color w:val="000000"/>
          <w:sz w:val="24"/>
        </w:rPr>
        <w:t>C</w:t>
      </w:r>
    </w:p>
    <w:p w:rsidR="00F016DD" w:rsidRPr="0078105B" w:rsidRDefault="00C77653"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44.04%</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42.37%</w:t>
      </w:r>
      <w:r w:rsidRPr="00DF18FE">
        <w:rPr>
          <w:color w:val="000000"/>
          <w:sz w:val="24"/>
        </w:rPr>
        <w:t>，同期业绩比较基准收益率为</w:t>
      </w:r>
      <w:r w:rsidRPr="00DF18FE">
        <w:rPr>
          <w:color w:val="000000"/>
          <w:sz w:val="24"/>
        </w:rPr>
        <w:t>39.49%</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063BCC">
        <w:tc>
          <w:tcPr>
            <w:tcW w:w="567" w:type="dxa"/>
            <w:vAlign w:val="center"/>
          </w:tcPr>
          <w:p w:rsidR="00063BCC" w:rsidRDefault="00C77653">
            <w:pPr>
              <w:jc w:val="center"/>
            </w:pPr>
            <w:r>
              <w:rPr>
                <w:color w:val="000000"/>
                <w:sz w:val="24"/>
              </w:rPr>
              <w:t>王晓晨</w:t>
            </w:r>
          </w:p>
        </w:tc>
        <w:tc>
          <w:tcPr>
            <w:tcW w:w="2835" w:type="dxa"/>
            <w:vAlign w:val="center"/>
          </w:tcPr>
          <w:p w:rsidR="00063BCC" w:rsidRDefault="00C77653">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日）、易方达双债</w:t>
            </w:r>
            <w:r>
              <w:rPr>
                <w:color w:val="000000"/>
                <w:sz w:val="24"/>
              </w:rPr>
              <w:t>增强债券型证券投资基金的基金经理、易方达恒益定期开放债券型发起式证券投资基金的基金经理（自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w:t>
            </w:r>
            <w:r>
              <w:rPr>
                <w:color w:val="000000"/>
                <w:sz w:val="24"/>
              </w:rPr>
              <w:lastRenderedPageBreak/>
              <w:t>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w:t>
            </w:r>
            <w:r>
              <w:rPr>
                <w:color w:val="000000"/>
                <w:sz w:val="24"/>
              </w:rPr>
              <w:t>理（香港）有限公司固定收益投资决策委员会委员</w:t>
            </w:r>
          </w:p>
        </w:tc>
        <w:tc>
          <w:tcPr>
            <w:tcW w:w="851" w:type="dxa"/>
            <w:vAlign w:val="center"/>
          </w:tcPr>
          <w:p w:rsidR="00063BCC" w:rsidRDefault="00C77653">
            <w:pPr>
              <w:jc w:val="center"/>
            </w:pPr>
            <w:r>
              <w:rPr>
                <w:color w:val="000000"/>
                <w:sz w:val="24"/>
              </w:rPr>
              <w:lastRenderedPageBreak/>
              <w:t>2013-09-10</w:t>
            </w:r>
          </w:p>
        </w:tc>
        <w:tc>
          <w:tcPr>
            <w:tcW w:w="850" w:type="dxa"/>
            <w:vAlign w:val="center"/>
          </w:tcPr>
          <w:p w:rsidR="00063BCC" w:rsidRDefault="00C77653">
            <w:pPr>
              <w:jc w:val="center"/>
            </w:pPr>
            <w:r>
              <w:rPr>
                <w:color w:val="000000"/>
                <w:sz w:val="24"/>
              </w:rPr>
              <w:t>-</w:t>
            </w:r>
          </w:p>
        </w:tc>
        <w:tc>
          <w:tcPr>
            <w:tcW w:w="851" w:type="dxa"/>
            <w:vAlign w:val="center"/>
          </w:tcPr>
          <w:p w:rsidR="00063BCC" w:rsidRDefault="00C77653">
            <w:pPr>
              <w:jc w:val="center"/>
            </w:pPr>
            <w:r>
              <w:rPr>
                <w:color w:val="000000"/>
                <w:sz w:val="24"/>
              </w:rPr>
              <w:t>16</w:t>
            </w:r>
            <w:r>
              <w:rPr>
                <w:color w:val="000000"/>
                <w:sz w:val="24"/>
              </w:rPr>
              <w:t>年</w:t>
            </w:r>
          </w:p>
        </w:tc>
        <w:tc>
          <w:tcPr>
            <w:tcW w:w="2977" w:type="dxa"/>
            <w:vAlign w:val="center"/>
          </w:tcPr>
          <w:p w:rsidR="00063BCC" w:rsidRDefault="00C77653">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063BCC" w:rsidRDefault="00C77653">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063BCC" w:rsidRDefault="00C77653">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063BCC" w:rsidRDefault="00C77653">
      <w:pPr>
        <w:spacing w:line="360" w:lineRule="auto"/>
        <w:ind w:firstLineChars="200" w:firstLine="480"/>
        <w:rPr>
          <w:color w:val="000000"/>
          <w:sz w:val="24"/>
        </w:rPr>
      </w:pPr>
      <w:r>
        <w:rPr>
          <w:color w:val="000000"/>
          <w:sz w:val="24"/>
        </w:rPr>
        <w:t>2019</w:t>
      </w:r>
      <w:r>
        <w:rPr>
          <w:color w:val="000000"/>
          <w:sz w:val="24"/>
        </w:rPr>
        <w:t>年三季度宏观经济数据逐步走低，体现为工业增加值数据在</w:t>
      </w:r>
      <w:r>
        <w:rPr>
          <w:color w:val="000000"/>
          <w:sz w:val="24"/>
        </w:rPr>
        <w:t>7-8</w:t>
      </w:r>
      <w:r>
        <w:rPr>
          <w:color w:val="000000"/>
          <w:sz w:val="24"/>
        </w:rPr>
        <w:t>月有所走弱，</w:t>
      </w:r>
      <w:r>
        <w:rPr>
          <w:color w:val="000000"/>
          <w:sz w:val="24"/>
        </w:rPr>
        <w:t>7</w:t>
      </w:r>
      <w:r>
        <w:rPr>
          <w:color w:val="000000"/>
          <w:sz w:val="24"/>
        </w:rPr>
        <w:t>月工业增加值同比增长</w:t>
      </w:r>
      <w:r>
        <w:rPr>
          <w:color w:val="000000"/>
          <w:sz w:val="24"/>
        </w:rPr>
        <w:t>4.8%</w:t>
      </w:r>
      <w:r>
        <w:rPr>
          <w:color w:val="000000"/>
          <w:sz w:val="24"/>
        </w:rPr>
        <w:t>，</w:t>
      </w:r>
      <w:r>
        <w:rPr>
          <w:color w:val="000000"/>
          <w:sz w:val="24"/>
        </w:rPr>
        <w:t>8</w:t>
      </w:r>
      <w:r>
        <w:rPr>
          <w:color w:val="000000"/>
          <w:sz w:val="24"/>
        </w:rPr>
        <w:t>月工业增加值同比增长</w:t>
      </w:r>
      <w:r>
        <w:rPr>
          <w:color w:val="000000"/>
          <w:sz w:val="24"/>
        </w:rPr>
        <w:t>4.4%</w:t>
      </w:r>
      <w:r>
        <w:rPr>
          <w:color w:val="000000"/>
          <w:sz w:val="24"/>
        </w:rPr>
        <w:t>，均低于预期，显示经济增长动能较弱。投资方面，</w:t>
      </w:r>
      <w:r>
        <w:rPr>
          <w:color w:val="000000"/>
          <w:sz w:val="24"/>
        </w:rPr>
        <w:t>2019</w:t>
      </w:r>
      <w:r>
        <w:rPr>
          <w:color w:val="000000"/>
          <w:sz w:val="24"/>
        </w:rPr>
        <w:t>年</w:t>
      </w:r>
      <w:r>
        <w:rPr>
          <w:color w:val="000000"/>
          <w:sz w:val="24"/>
        </w:rPr>
        <w:t>1-8</w:t>
      </w:r>
      <w:r>
        <w:rPr>
          <w:color w:val="000000"/>
          <w:sz w:val="24"/>
        </w:rPr>
        <w:t>月份全国固定资产投资同比增长</w:t>
      </w:r>
      <w:r>
        <w:rPr>
          <w:color w:val="000000"/>
          <w:sz w:val="24"/>
        </w:rPr>
        <w:t>5.5%</w:t>
      </w:r>
      <w:r>
        <w:rPr>
          <w:color w:val="000000"/>
          <w:sz w:val="24"/>
        </w:rPr>
        <w:t>，增速比</w:t>
      </w:r>
      <w:r>
        <w:rPr>
          <w:color w:val="000000"/>
          <w:sz w:val="24"/>
        </w:rPr>
        <w:t>1-6</w:t>
      </w:r>
      <w:r>
        <w:rPr>
          <w:color w:val="000000"/>
          <w:sz w:val="24"/>
        </w:rPr>
        <w:t>月份回落</w:t>
      </w:r>
      <w:r>
        <w:rPr>
          <w:color w:val="000000"/>
          <w:sz w:val="24"/>
        </w:rPr>
        <w:t>0.3</w:t>
      </w:r>
      <w:r>
        <w:rPr>
          <w:color w:val="000000"/>
          <w:sz w:val="24"/>
        </w:rPr>
        <w:t>个百分点，投资在</w:t>
      </w:r>
      <w:r>
        <w:rPr>
          <w:color w:val="000000"/>
          <w:sz w:val="24"/>
        </w:rPr>
        <w:t>7-8</w:t>
      </w:r>
      <w:r>
        <w:rPr>
          <w:color w:val="000000"/>
          <w:sz w:val="24"/>
        </w:rPr>
        <w:t>月连续两个月下滑，结构上主要是民间投资连续两个月回落明显。消费方面，</w:t>
      </w:r>
      <w:r>
        <w:rPr>
          <w:color w:val="000000"/>
          <w:sz w:val="24"/>
        </w:rPr>
        <w:t>7</w:t>
      </w:r>
      <w:r>
        <w:rPr>
          <w:color w:val="000000"/>
          <w:sz w:val="24"/>
        </w:rPr>
        <w:t>月和</w:t>
      </w:r>
      <w:r>
        <w:rPr>
          <w:color w:val="000000"/>
          <w:sz w:val="24"/>
        </w:rPr>
        <w:t>8</w:t>
      </w:r>
      <w:r>
        <w:rPr>
          <w:color w:val="000000"/>
          <w:sz w:val="24"/>
        </w:rPr>
        <w:t>月社会消费品零售总额同比增长分别为</w:t>
      </w:r>
      <w:r>
        <w:rPr>
          <w:color w:val="000000"/>
          <w:sz w:val="24"/>
        </w:rPr>
        <w:t>7.6%</w:t>
      </w:r>
      <w:r>
        <w:rPr>
          <w:color w:val="000000"/>
          <w:sz w:val="24"/>
        </w:rPr>
        <w:t>和</w:t>
      </w:r>
      <w:r>
        <w:rPr>
          <w:color w:val="000000"/>
          <w:sz w:val="24"/>
        </w:rPr>
        <w:t>7.5%</w:t>
      </w:r>
      <w:r>
        <w:rPr>
          <w:color w:val="000000"/>
          <w:sz w:val="24"/>
        </w:rPr>
        <w:t>，与工业数据一致，呈现季末大幅上升、季初大幅回落的数据特征，总体来看较为平稳。通胀方面，</w:t>
      </w:r>
      <w:r>
        <w:rPr>
          <w:color w:val="000000"/>
          <w:sz w:val="24"/>
        </w:rPr>
        <w:t>7</w:t>
      </w:r>
      <w:r>
        <w:rPr>
          <w:color w:val="000000"/>
          <w:sz w:val="24"/>
        </w:rPr>
        <w:t>月和</w:t>
      </w:r>
      <w:r>
        <w:rPr>
          <w:color w:val="000000"/>
          <w:sz w:val="24"/>
        </w:rPr>
        <w:t>8</w:t>
      </w:r>
      <w:r>
        <w:rPr>
          <w:color w:val="000000"/>
          <w:sz w:val="24"/>
        </w:rPr>
        <w:t>月</w:t>
      </w:r>
      <w:r>
        <w:rPr>
          <w:color w:val="000000"/>
          <w:sz w:val="24"/>
        </w:rPr>
        <w:t>CPI</w:t>
      </w:r>
      <w:r>
        <w:rPr>
          <w:color w:val="000000"/>
          <w:sz w:val="24"/>
        </w:rPr>
        <w:t>同比都上涨</w:t>
      </w:r>
      <w:r>
        <w:rPr>
          <w:color w:val="000000"/>
          <w:sz w:val="24"/>
        </w:rPr>
        <w:t>2.8%</w:t>
      </w:r>
      <w:r>
        <w:rPr>
          <w:color w:val="000000"/>
          <w:sz w:val="24"/>
        </w:rPr>
        <w:t>，略超市场预期，结构上，主要是食品高于预期，非食品略低于预期，结构分化比较明显，非食品在形成通胀预期方面更为重要，从这个角度来看通胀压力可控。金融数据方面，</w:t>
      </w:r>
      <w:r>
        <w:rPr>
          <w:color w:val="000000"/>
          <w:sz w:val="24"/>
        </w:rPr>
        <w:t>7</w:t>
      </w:r>
      <w:r>
        <w:rPr>
          <w:color w:val="000000"/>
          <w:sz w:val="24"/>
        </w:rPr>
        <w:t>月新增社会融资规模数据较差，</w:t>
      </w:r>
      <w:r>
        <w:rPr>
          <w:color w:val="000000"/>
          <w:sz w:val="24"/>
        </w:rPr>
        <w:t>8</w:t>
      </w:r>
      <w:r>
        <w:rPr>
          <w:color w:val="000000"/>
          <w:sz w:val="24"/>
        </w:rPr>
        <w:t>月数据较好，是否</w:t>
      </w:r>
      <w:r>
        <w:rPr>
          <w:color w:val="000000"/>
          <w:sz w:val="24"/>
        </w:rPr>
        <w:t>具有持续性仍有待观察，结构上，表内实体贷款中居民中长期贷款持续表现较好。</w:t>
      </w:r>
    </w:p>
    <w:p w:rsidR="00063BCC" w:rsidRDefault="00C77653">
      <w:pPr>
        <w:spacing w:line="360" w:lineRule="auto"/>
        <w:ind w:firstLineChars="200" w:firstLine="480"/>
        <w:rPr>
          <w:color w:val="000000"/>
          <w:sz w:val="24"/>
        </w:rPr>
      </w:pPr>
      <w:r>
        <w:rPr>
          <w:color w:val="000000"/>
          <w:sz w:val="24"/>
        </w:rPr>
        <w:t>债券市场在三季度先涨后跌，呈现震荡走势。</w:t>
      </w:r>
      <w:r>
        <w:rPr>
          <w:color w:val="000000"/>
          <w:sz w:val="24"/>
        </w:rPr>
        <w:t>7-8</w:t>
      </w:r>
      <w:r>
        <w:rPr>
          <w:color w:val="000000"/>
          <w:sz w:val="24"/>
        </w:rPr>
        <w:t>月份，资金面在经过半年末后重回宽松，国内基本面数据不及预期，美联储降息预期增强并落实、中美贸易摩擦加剧，在多重利好因素影响下，债券市场持续上涨，</w:t>
      </w:r>
      <w:r>
        <w:rPr>
          <w:color w:val="000000"/>
          <w:sz w:val="24"/>
        </w:rPr>
        <w:t>10</w:t>
      </w:r>
      <w:r>
        <w:rPr>
          <w:color w:val="000000"/>
          <w:sz w:val="24"/>
        </w:rPr>
        <w:t>年以上的超长国债表现最佳。</w:t>
      </w:r>
      <w:r>
        <w:rPr>
          <w:color w:val="000000"/>
          <w:sz w:val="24"/>
        </w:rPr>
        <w:t>9</w:t>
      </w:r>
      <w:r>
        <w:rPr>
          <w:color w:val="000000"/>
          <w:sz w:val="24"/>
        </w:rPr>
        <w:t>月，中美贸易战呈现缓和迹象，猪价持续上涨推升通胀，债券市场的供给有所增加，从公开市场操作和央行官员的讲话中，均可读出央行对货币政策保持稳健和定力的决心，债券市场短期利好出尽、震荡下跌，结构上中长期债券调整较多，短期债</w:t>
      </w:r>
      <w:r>
        <w:rPr>
          <w:color w:val="000000"/>
          <w:sz w:val="24"/>
        </w:rPr>
        <w:t>券价格相对稳定。</w:t>
      </w:r>
    </w:p>
    <w:p w:rsidR="00F016DD" w:rsidRPr="00DF18FE" w:rsidRDefault="00F016DD" w:rsidP="00DF18FE">
      <w:pPr>
        <w:spacing w:line="360" w:lineRule="auto"/>
        <w:ind w:firstLineChars="200" w:firstLine="480"/>
        <w:rPr>
          <w:color w:val="000000"/>
          <w:sz w:val="24"/>
        </w:rPr>
      </w:pPr>
      <w:r w:rsidRPr="00DF18FE">
        <w:rPr>
          <w:color w:val="000000"/>
          <w:sz w:val="24"/>
        </w:rPr>
        <w:t>本基金在三季度维持了中性偏高的杠杆水平，并增加了组合的久期，积极根据市场情况进行利率债波段操作，重点关注信用风险以及组合的流动性风险，本组合主要配置中等久期的高等级信用债，信用债给本组合提供了最大业绩贡献。</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1.142</w:t>
      </w:r>
      <w:r w:rsidRPr="00DF18FE">
        <w:rPr>
          <w:color w:val="000000"/>
          <w:sz w:val="24"/>
        </w:rPr>
        <w:t>元，本报告期份额净值增长率为</w:t>
      </w:r>
      <w:r w:rsidRPr="00DF18FE">
        <w:rPr>
          <w:color w:val="000000"/>
          <w:sz w:val="24"/>
        </w:rPr>
        <w:t>1.42%</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1.140</w:t>
      </w:r>
      <w:r w:rsidRPr="00DF18FE">
        <w:rPr>
          <w:color w:val="000000"/>
          <w:sz w:val="24"/>
        </w:rPr>
        <w:t>元，本报告期份额净值增长率为</w:t>
      </w:r>
      <w:r w:rsidRPr="00DF18FE">
        <w:rPr>
          <w:color w:val="000000"/>
          <w:sz w:val="24"/>
        </w:rPr>
        <w:t>1.33%</w:t>
      </w:r>
      <w:r w:rsidRPr="00DF18FE">
        <w:rPr>
          <w:color w:val="000000"/>
          <w:sz w:val="24"/>
        </w:rPr>
        <w:t>；同期业绩比较基准收益率为</w:t>
      </w:r>
      <w:r w:rsidRPr="00DF18FE">
        <w:rPr>
          <w:color w:val="000000"/>
          <w:sz w:val="24"/>
        </w:rPr>
        <w:t>1.46%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2,915,327,746.80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97.17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2,915,327,746.80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97.17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19,063,307.49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0.64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65,770,267.27</w:t>
            </w:r>
          </w:p>
        </w:tc>
        <w:tc>
          <w:tcPr>
            <w:tcW w:w="1843" w:type="dxa"/>
            <w:vAlign w:val="center"/>
          </w:tcPr>
          <w:p w:rsidR="00F016DD" w:rsidRPr="00FA472B" w:rsidRDefault="00F016DD" w:rsidP="00F4518C">
            <w:pPr>
              <w:jc w:val="right"/>
              <w:rPr>
                <w:color w:val="000000"/>
                <w:sz w:val="24"/>
              </w:rPr>
            </w:pPr>
            <w:r w:rsidRPr="00FA472B">
              <w:rPr>
                <w:color w:val="000000"/>
                <w:sz w:val="24"/>
              </w:rPr>
              <w:t>2.19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3,000,161,321.56</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140,591,000.00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5.78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130,401,000.00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1,267,532,746.80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52.08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1,507,204,000.00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61.93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2,915,327,746.80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119.78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063BCC">
        <w:tc>
          <w:tcPr>
            <w:tcW w:w="802" w:type="dxa"/>
            <w:vAlign w:val="center"/>
          </w:tcPr>
          <w:p w:rsidR="00063BCC" w:rsidRDefault="00C77653">
            <w:pPr>
              <w:jc w:val="center"/>
            </w:pPr>
            <w:r>
              <w:rPr>
                <w:color w:val="000000"/>
                <w:sz w:val="24"/>
              </w:rPr>
              <w:t>1</w:t>
            </w:r>
          </w:p>
        </w:tc>
        <w:tc>
          <w:tcPr>
            <w:tcW w:w="1559" w:type="dxa"/>
            <w:vAlign w:val="center"/>
          </w:tcPr>
          <w:p w:rsidR="00063BCC" w:rsidRDefault="00C77653">
            <w:pPr>
              <w:jc w:val="center"/>
            </w:pPr>
            <w:r>
              <w:rPr>
                <w:color w:val="000000"/>
                <w:sz w:val="24"/>
              </w:rPr>
              <w:t>190304</w:t>
            </w:r>
          </w:p>
        </w:tc>
        <w:tc>
          <w:tcPr>
            <w:tcW w:w="1985" w:type="dxa"/>
            <w:vAlign w:val="center"/>
          </w:tcPr>
          <w:p w:rsidR="00063BCC" w:rsidRDefault="00C77653">
            <w:pPr>
              <w:jc w:val="center"/>
            </w:pPr>
            <w:r>
              <w:rPr>
                <w:color w:val="000000"/>
                <w:sz w:val="24"/>
              </w:rPr>
              <w:t>19</w:t>
            </w:r>
            <w:r>
              <w:rPr>
                <w:color w:val="000000"/>
                <w:sz w:val="24"/>
              </w:rPr>
              <w:t>进出</w:t>
            </w:r>
            <w:r>
              <w:rPr>
                <w:color w:val="000000"/>
                <w:sz w:val="24"/>
              </w:rPr>
              <w:t>04</w:t>
            </w:r>
          </w:p>
        </w:tc>
        <w:tc>
          <w:tcPr>
            <w:tcW w:w="1559" w:type="dxa"/>
            <w:vAlign w:val="center"/>
          </w:tcPr>
          <w:p w:rsidR="00063BCC" w:rsidRDefault="00C77653">
            <w:pPr>
              <w:jc w:val="right"/>
            </w:pPr>
            <w:r>
              <w:rPr>
                <w:color w:val="000000"/>
                <w:sz w:val="24"/>
              </w:rPr>
              <w:t>800,000</w:t>
            </w:r>
          </w:p>
        </w:tc>
        <w:tc>
          <w:tcPr>
            <w:tcW w:w="2126" w:type="dxa"/>
            <w:vAlign w:val="center"/>
          </w:tcPr>
          <w:p w:rsidR="00063BCC" w:rsidRDefault="00C77653">
            <w:pPr>
              <w:jc w:val="right"/>
            </w:pPr>
            <w:r>
              <w:rPr>
                <w:color w:val="000000"/>
                <w:sz w:val="24"/>
              </w:rPr>
              <w:t>79,984,000.00</w:t>
            </w:r>
          </w:p>
        </w:tc>
        <w:tc>
          <w:tcPr>
            <w:tcW w:w="990" w:type="dxa"/>
            <w:vAlign w:val="center"/>
          </w:tcPr>
          <w:p w:rsidR="00063BCC" w:rsidRDefault="00C77653">
            <w:pPr>
              <w:jc w:val="right"/>
            </w:pPr>
            <w:r>
              <w:rPr>
                <w:color w:val="000000"/>
                <w:sz w:val="24"/>
              </w:rPr>
              <w:t>3.29</w:t>
            </w:r>
          </w:p>
        </w:tc>
      </w:tr>
      <w:tr w:rsidR="00063BCC">
        <w:tc>
          <w:tcPr>
            <w:tcW w:w="802" w:type="dxa"/>
            <w:vAlign w:val="center"/>
          </w:tcPr>
          <w:p w:rsidR="00063BCC" w:rsidRDefault="00C77653">
            <w:pPr>
              <w:jc w:val="center"/>
            </w:pPr>
            <w:r>
              <w:rPr>
                <w:color w:val="000000"/>
                <w:sz w:val="24"/>
              </w:rPr>
              <w:t>2</w:t>
            </w:r>
          </w:p>
        </w:tc>
        <w:tc>
          <w:tcPr>
            <w:tcW w:w="1559" w:type="dxa"/>
            <w:vAlign w:val="center"/>
          </w:tcPr>
          <w:p w:rsidR="00063BCC" w:rsidRDefault="00C77653">
            <w:pPr>
              <w:jc w:val="center"/>
            </w:pPr>
            <w:r>
              <w:rPr>
                <w:color w:val="000000"/>
                <w:sz w:val="24"/>
              </w:rPr>
              <w:t>101801489</w:t>
            </w:r>
          </w:p>
        </w:tc>
        <w:tc>
          <w:tcPr>
            <w:tcW w:w="1985" w:type="dxa"/>
            <w:vAlign w:val="center"/>
          </w:tcPr>
          <w:p w:rsidR="00063BCC" w:rsidRDefault="00C77653">
            <w:pPr>
              <w:jc w:val="center"/>
            </w:pPr>
            <w:r>
              <w:rPr>
                <w:color w:val="000000"/>
                <w:sz w:val="24"/>
              </w:rPr>
              <w:t>18</w:t>
            </w:r>
            <w:r>
              <w:rPr>
                <w:color w:val="000000"/>
                <w:sz w:val="24"/>
              </w:rPr>
              <w:t>沪电气</w:t>
            </w:r>
            <w:r>
              <w:rPr>
                <w:color w:val="000000"/>
                <w:sz w:val="24"/>
              </w:rPr>
              <w:t>MTN001</w:t>
            </w:r>
          </w:p>
        </w:tc>
        <w:tc>
          <w:tcPr>
            <w:tcW w:w="1559" w:type="dxa"/>
            <w:vAlign w:val="center"/>
          </w:tcPr>
          <w:p w:rsidR="00063BCC" w:rsidRDefault="00C77653">
            <w:pPr>
              <w:jc w:val="right"/>
            </w:pPr>
            <w:r>
              <w:rPr>
                <w:color w:val="000000"/>
                <w:sz w:val="24"/>
              </w:rPr>
              <w:t>700,000</w:t>
            </w:r>
          </w:p>
        </w:tc>
        <w:tc>
          <w:tcPr>
            <w:tcW w:w="2126" w:type="dxa"/>
            <w:vAlign w:val="center"/>
          </w:tcPr>
          <w:p w:rsidR="00063BCC" w:rsidRDefault="00C77653">
            <w:pPr>
              <w:jc w:val="right"/>
            </w:pPr>
            <w:r>
              <w:rPr>
                <w:color w:val="000000"/>
                <w:sz w:val="24"/>
              </w:rPr>
              <w:t>71,267,000.00</w:t>
            </w:r>
          </w:p>
        </w:tc>
        <w:tc>
          <w:tcPr>
            <w:tcW w:w="990" w:type="dxa"/>
            <w:vAlign w:val="center"/>
          </w:tcPr>
          <w:p w:rsidR="00063BCC" w:rsidRDefault="00C77653">
            <w:pPr>
              <w:jc w:val="right"/>
            </w:pPr>
            <w:r>
              <w:rPr>
                <w:color w:val="000000"/>
                <w:sz w:val="24"/>
              </w:rPr>
              <w:t>2.93</w:t>
            </w:r>
          </w:p>
        </w:tc>
      </w:tr>
      <w:tr w:rsidR="00063BCC">
        <w:tc>
          <w:tcPr>
            <w:tcW w:w="802" w:type="dxa"/>
            <w:vAlign w:val="center"/>
          </w:tcPr>
          <w:p w:rsidR="00063BCC" w:rsidRDefault="00C77653">
            <w:pPr>
              <w:jc w:val="center"/>
            </w:pPr>
            <w:r>
              <w:rPr>
                <w:color w:val="000000"/>
                <w:sz w:val="24"/>
              </w:rPr>
              <w:t>3</w:t>
            </w:r>
          </w:p>
        </w:tc>
        <w:tc>
          <w:tcPr>
            <w:tcW w:w="1559" w:type="dxa"/>
            <w:vAlign w:val="center"/>
          </w:tcPr>
          <w:p w:rsidR="00063BCC" w:rsidRDefault="00C77653">
            <w:pPr>
              <w:jc w:val="center"/>
            </w:pPr>
            <w:r>
              <w:rPr>
                <w:color w:val="000000"/>
                <w:sz w:val="24"/>
              </w:rPr>
              <w:t>155176</w:t>
            </w:r>
          </w:p>
        </w:tc>
        <w:tc>
          <w:tcPr>
            <w:tcW w:w="1985" w:type="dxa"/>
            <w:vAlign w:val="center"/>
          </w:tcPr>
          <w:p w:rsidR="00063BCC" w:rsidRDefault="00C77653">
            <w:pPr>
              <w:jc w:val="center"/>
            </w:pPr>
            <w:r>
              <w:rPr>
                <w:color w:val="000000"/>
                <w:sz w:val="24"/>
              </w:rPr>
              <w:t>19</w:t>
            </w:r>
            <w:r>
              <w:rPr>
                <w:color w:val="000000"/>
                <w:sz w:val="24"/>
              </w:rPr>
              <w:t>山招</w:t>
            </w:r>
            <w:r>
              <w:rPr>
                <w:color w:val="000000"/>
                <w:sz w:val="24"/>
              </w:rPr>
              <w:t>01</w:t>
            </w:r>
          </w:p>
        </w:tc>
        <w:tc>
          <w:tcPr>
            <w:tcW w:w="1559" w:type="dxa"/>
            <w:vAlign w:val="center"/>
          </w:tcPr>
          <w:p w:rsidR="00063BCC" w:rsidRDefault="00C77653">
            <w:pPr>
              <w:jc w:val="right"/>
            </w:pPr>
            <w:r>
              <w:rPr>
                <w:color w:val="000000"/>
                <w:sz w:val="24"/>
              </w:rPr>
              <w:t>620,000</w:t>
            </w:r>
          </w:p>
        </w:tc>
        <w:tc>
          <w:tcPr>
            <w:tcW w:w="2126" w:type="dxa"/>
            <w:vAlign w:val="center"/>
          </w:tcPr>
          <w:p w:rsidR="00063BCC" w:rsidRDefault="00C77653">
            <w:pPr>
              <w:jc w:val="right"/>
            </w:pPr>
            <w:r>
              <w:rPr>
                <w:color w:val="000000"/>
                <w:sz w:val="24"/>
              </w:rPr>
              <w:t>62,750,200.00</w:t>
            </w:r>
          </w:p>
        </w:tc>
        <w:tc>
          <w:tcPr>
            <w:tcW w:w="990" w:type="dxa"/>
            <w:vAlign w:val="center"/>
          </w:tcPr>
          <w:p w:rsidR="00063BCC" w:rsidRDefault="00C77653">
            <w:pPr>
              <w:jc w:val="right"/>
            </w:pPr>
            <w:r>
              <w:rPr>
                <w:color w:val="000000"/>
                <w:sz w:val="24"/>
              </w:rPr>
              <w:t>2.58</w:t>
            </w:r>
          </w:p>
        </w:tc>
      </w:tr>
      <w:tr w:rsidR="00063BCC">
        <w:tc>
          <w:tcPr>
            <w:tcW w:w="802" w:type="dxa"/>
            <w:vAlign w:val="center"/>
          </w:tcPr>
          <w:p w:rsidR="00063BCC" w:rsidRDefault="00C77653">
            <w:pPr>
              <w:jc w:val="center"/>
            </w:pPr>
            <w:r>
              <w:rPr>
                <w:color w:val="000000"/>
                <w:sz w:val="24"/>
              </w:rPr>
              <w:t>4</w:t>
            </w:r>
          </w:p>
        </w:tc>
        <w:tc>
          <w:tcPr>
            <w:tcW w:w="1559" w:type="dxa"/>
            <w:vAlign w:val="center"/>
          </w:tcPr>
          <w:p w:rsidR="00063BCC" w:rsidRDefault="00C77653">
            <w:pPr>
              <w:jc w:val="center"/>
            </w:pPr>
            <w:r>
              <w:rPr>
                <w:color w:val="000000"/>
                <w:sz w:val="24"/>
              </w:rPr>
              <w:t>143868</w:t>
            </w:r>
          </w:p>
        </w:tc>
        <w:tc>
          <w:tcPr>
            <w:tcW w:w="1985" w:type="dxa"/>
            <w:vAlign w:val="center"/>
          </w:tcPr>
          <w:p w:rsidR="00063BCC" w:rsidRDefault="00C77653">
            <w:pPr>
              <w:jc w:val="center"/>
            </w:pPr>
            <w:r>
              <w:rPr>
                <w:color w:val="000000"/>
                <w:sz w:val="24"/>
              </w:rPr>
              <w:t>18</w:t>
            </w:r>
            <w:r>
              <w:rPr>
                <w:color w:val="000000"/>
                <w:sz w:val="24"/>
              </w:rPr>
              <w:t>电投</w:t>
            </w:r>
            <w:r>
              <w:rPr>
                <w:color w:val="000000"/>
                <w:sz w:val="24"/>
              </w:rPr>
              <w:t>09</w:t>
            </w:r>
          </w:p>
        </w:tc>
        <w:tc>
          <w:tcPr>
            <w:tcW w:w="1559" w:type="dxa"/>
            <w:vAlign w:val="center"/>
          </w:tcPr>
          <w:p w:rsidR="00063BCC" w:rsidRDefault="00C77653">
            <w:pPr>
              <w:jc w:val="right"/>
            </w:pPr>
            <w:r>
              <w:rPr>
                <w:color w:val="000000"/>
                <w:sz w:val="24"/>
              </w:rPr>
              <w:t>600,000</w:t>
            </w:r>
          </w:p>
        </w:tc>
        <w:tc>
          <w:tcPr>
            <w:tcW w:w="2126" w:type="dxa"/>
            <w:vAlign w:val="center"/>
          </w:tcPr>
          <w:p w:rsidR="00063BCC" w:rsidRDefault="00C77653">
            <w:pPr>
              <w:jc w:val="right"/>
            </w:pPr>
            <w:r>
              <w:rPr>
                <w:color w:val="000000"/>
                <w:sz w:val="24"/>
              </w:rPr>
              <w:t>61,428,000.00</w:t>
            </w:r>
          </w:p>
        </w:tc>
        <w:tc>
          <w:tcPr>
            <w:tcW w:w="990" w:type="dxa"/>
            <w:vAlign w:val="center"/>
          </w:tcPr>
          <w:p w:rsidR="00063BCC" w:rsidRDefault="00C77653">
            <w:pPr>
              <w:jc w:val="right"/>
            </w:pPr>
            <w:r>
              <w:rPr>
                <w:color w:val="000000"/>
                <w:sz w:val="24"/>
              </w:rPr>
              <w:t>2.52</w:t>
            </w:r>
          </w:p>
        </w:tc>
      </w:tr>
      <w:tr w:rsidR="00063BCC">
        <w:tc>
          <w:tcPr>
            <w:tcW w:w="802" w:type="dxa"/>
            <w:vAlign w:val="center"/>
          </w:tcPr>
          <w:p w:rsidR="00063BCC" w:rsidRDefault="00C77653">
            <w:pPr>
              <w:jc w:val="center"/>
            </w:pPr>
            <w:r>
              <w:rPr>
                <w:color w:val="000000"/>
                <w:sz w:val="24"/>
              </w:rPr>
              <w:t>5</w:t>
            </w:r>
          </w:p>
        </w:tc>
        <w:tc>
          <w:tcPr>
            <w:tcW w:w="1559" w:type="dxa"/>
            <w:vAlign w:val="center"/>
          </w:tcPr>
          <w:p w:rsidR="00063BCC" w:rsidRDefault="00C77653">
            <w:pPr>
              <w:jc w:val="center"/>
            </w:pPr>
            <w:r>
              <w:rPr>
                <w:color w:val="000000"/>
                <w:sz w:val="24"/>
              </w:rPr>
              <w:t>101801406</w:t>
            </w:r>
          </w:p>
        </w:tc>
        <w:tc>
          <w:tcPr>
            <w:tcW w:w="1985" w:type="dxa"/>
            <w:vAlign w:val="center"/>
          </w:tcPr>
          <w:p w:rsidR="00063BCC" w:rsidRDefault="00C77653">
            <w:pPr>
              <w:jc w:val="center"/>
            </w:pPr>
            <w:r>
              <w:rPr>
                <w:color w:val="000000"/>
                <w:sz w:val="24"/>
              </w:rPr>
              <w:t>18</w:t>
            </w:r>
            <w:r>
              <w:rPr>
                <w:color w:val="000000"/>
                <w:sz w:val="24"/>
              </w:rPr>
              <w:t>京汽集</w:t>
            </w:r>
            <w:r>
              <w:rPr>
                <w:color w:val="000000"/>
                <w:sz w:val="24"/>
              </w:rPr>
              <w:t>MTN003</w:t>
            </w:r>
          </w:p>
        </w:tc>
        <w:tc>
          <w:tcPr>
            <w:tcW w:w="1559" w:type="dxa"/>
            <w:vAlign w:val="center"/>
          </w:tcPr>
          <w:p w:rsidR="00063BCC" w:rsidRDefault="00C77653">
            <w:pPr>
              <w:jc w:val="right"/>
            </w:pPr>
            <w:r>
              <w:rPr>
                <w:color w:val="000000"/>
                <w:sz w:val="24"/>
              </w:rPr>
              <w:t>600,000</w:t>
            </w:r>
          </w:p>
        </w:tc>
        <w:tc>
          <w:tcPr>
            <w:tcW w:w="2126" w:type="dxa"/>
            <w:vAlign w:val="center"/>
          </w:tcPr>
          <w:p w:rsidR="00063BCC" w:rsidRDefault="00C77653">
            <w:pPr>
              <w:jc w:val="right"/>
            </w:pPr>
            <w:r>
              <w:rPr>
                <w:color w:val="000000"/>
                <w:sz w:val="24"/>
              </w:rPr>
              <w:t>61,092,000.00</w:t>
            </w:r>
          </w:p>
        </w:tc>
        <w:tc>
          <w:tcPr>
            <w:tcW w:w="990" w:type="dxa"/>
            <w:vAlign w:val="center"/>
          </w:tcPr>
          <w:p w:rsidR="00063BCC" w:rsidRDefault="00C77653">
            <w:pPr>
              <w:jc w:val="right"/>
            </w:pPr>
            <w:r>
              <w:rPr>
                <w:color w:val="000000"/>
                <w:sz w:val="24"/>
              </w:rPr>
              <w:t>2.51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lastRenderedPageBreak/>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41,407.98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52,005,321.26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13,723,538.03</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65,770,267.27</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易方达投资级信用债债券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易方达投资级信用债债券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1,179,548,648.13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222,697,891.13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692,838,005.83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288,016,369.12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165,415,848.05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85,607,929.57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1,706,970,805.91</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425,106,330.68</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063BCC">
        <w:trPr>
          <w:jc w:val="center"/>
        </w:trPr>
        <w:tc>
          <w:tcPr>
            <w:tcW w:w="709" w:type="dxa"/>
            <w:vMerge w:val="restart"/>
            <w:vAlign w:val="center"/>
          </w:tcPr>
          <w:p w:rsidR="00063BCC" w:rsidRDefault="00C77653">
            <w:r>
              <w:rPr>
                <w:rFonts w:eastAsiaTheme="minorEastAsia"/>
                <w:bCs/>
                <w:color w:val="000000" w:themeColor="text1"/>
                <w:sz w:val="24"/>
              </w:rPr>
              <w:t>机构</w:t>
            </w:r>
          </w:p>
        </w:tc>
        <w:tc>
          <w:tcPr>
            <w:tcW w:w="709" w:type="dxa"/>
            <w:vAlign w:val="center"/>
          </w:tcPr>
          <w:p w:rsidR="00063BCC" w:rsidRDefault="00C77653">
            <w:pPr>
              <w:jc w:val="center"/>
            </w:pPr>
            <w:r>
              <w:rPr>
                <w:sz w:val="24"/>
              </w:rPr>
              <w:t>1</w:t>
            </w:r>
          </w:p>
        </w:tc>
        <w:tc>
          <w:tcPr>
            <w:tcW w:w="2126" w:type="dxa"/>
            <w:vAlign w:val="center"/>
          </w:tcPr>
          <w:p w:rsidR="00063BCC" w:rsidRDefault="00C77653">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063BCC" w:rsidRDefault="00C77653">
            <w:pPr>
              <w:jc w:val="center"/>
            </w:pPr>
            <w:r>
              <w:rPr>
                <w:sz w:val="24"/>
              </w:rPr>
              <w:t>466,223,306.63</w:t>
            </w:r>
          </w:p>
        </w:tc>
        <w:tc>
          <w:tcPr>
            <w:tcW w:w="1276" w:type="dxa"/>
            <w:vAlign w:val="center"/>
          </w:tcPr>
          <w:p w:rsidR="00063BCC" w:rsidRDefault="00C77653">
            <w:pPr>
              <w:jc w:val="center"/>
            </w:pPr>
            <w:r>
              <w:rPr>
                <w:sz w:val="24"/>
              </w:rPr>
              <w:t>5,781,334.18</w:t>
            </w:r>
          </w:p>
        </w:tc>
        <w:tc>
          <w:tcPr>
            <w:tcW w:w="1276" w:type="dxa"/>
            <w:vAlign w:val="center"/>
          </w:tcPr>
          <w:p w:rsidR="00063BCC" w:rsidRDefault="00C77653">
            <w:pPr>
              <w:jc w:val="center"/>
            </w:pPr>
            <w:r>
              <w:rPr>
                <w:sz w:val="24"/>
              </w:rPr>
              <w:t>-</w:t>
            </w:r>
          </w:p>
        </w:tc>
        <w:tc>
          <w:tcPr>
            <w:tcW w:w="1417" w:type="dxa"/>
            <w:vAlign w:val="center"/>
          </w:tcPr>
          <w:p w:rsidR="00063BCC" w:rsidRDefault="00C77653">
            <w:pPr>
              <w:jc w:val="center"/>
            </w:pPr>
            <w:r>
              <w:rPr>
                <w:sz w:val="24"/>
              </w:rPr>
              <w:t>472,004,640.81</w:t>
            </w:r>
          </w:p>
        </w:tc>
        <w:tc>
          <w:tcPr>
            <w:tcW w:w="851" w:type="dxa"/>
            <w:vAlign w:val="center"/>
          </w:tcPr>
          <w:p w:rsidR="00063BCC" w:rsidRDefault="00C77653">
            <w:pPr>
              <w:jc w:val="center"/>
            </w:pPr>
            <w:r>
              <w:rPr>
                <w:sz w:val="24"/>
              </w:rPr>
              <w:t>22.14%</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063BCC" w:rsidRDefault="00C77653">
      <w:pPr>
        <w:spacing w:line="360" w:lineRule="auto"/>
        <w:ind w:firstLineChars="200" w:firstLine="480"/>
        <w:rPr>
          <w:color w:val="000000"/>
          <w:sz w:val="24"/>
        </w:rPr>
      </w:pPr>
      <w:r>
        <w:rPr>
          <w:color w:val="000000"/>
          <w:sz w:val="24"/>
        </w:rPr>
        <w:t>1.</w:t>
      </w:r>
      <w:r>
        <w:rPr>
          <w:color w:val="000000"/>
          <w:sz w:val="24"/>
        </w:rPr>
        <w:t>中国证监会核准易方达投资级信用债债券型证券投资基金募集的文件；</w:t>
      </w:r>
    </w:p>
    <w:p w:rsidR="00063BCC" w:rsidRDefault="00C77653">
      <w:pPr>
        <w:spacing w:line="360" w:lineRule="auto"/>
        <w:ind w:firstLineChars="200" w:firstLine="480"/>
        <w:rPr>
          <w:color w:val="000000"/>
          <w:sz w:val="24"/>
        </w:rPr>
      </w:pPr>
      <w:r>
        <w:rPr>
          <w:color w:val="000000"/>
          <w:sz w:val="24"/>
        </w:rPr>
        <w:lastRenderedPageBreak/>
        <w:t>2.</w:t>
      </w:r>
      <w:r>
        <w:rPr>
          <w:color w:val="000000"/>
          <w:sz w:val="24"/>
        </w:rPr>
        <w:t>《易方达投资级信用债债券型证券投资基金基金合同》；</w:t>
      </w:r>
    </w:p>
    <w:p w:rsidR="00063BCC" w:rsidRDefault="00C77653">
      <w:pPr>
        <w:spacing w:line="360" w:lineRule="auto"/>
        <w:ind w:firstLineChars="200" w:firstLine="480"/>
        <w:rPr>
          <w:color w:val="000000"/>
          <w:sz w:val="24"/>
        </w:rPr>
      </w:pPr>
      <w:r>
        <w:rPr>
          <w:color w:val="000000"/>
          <w:sz w:val="24"/>
        </w:rPr>
        <w:t>3.</w:t>
      </w:r>
      <w:r>
        <w:rPr>
          <w:color w:val="000000"/>
          <w:sz w:val="24"/>
        </w:rPr>
        <w:t>《易方达投资级信用债债券型证券投资基金托管协议》；</w:t>
      </w:r>
    </w:p>
    <w:p w:rsidR="00063BCC" w:rsidRDefault="00C77653">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C77653">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C77653">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C77653">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易方达投资级信用债债券型证券投资基金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3BCC"/>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77653"/>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900D917-2C45-467F-9FAE-69632FA1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1050</Words>
  <Characters>5989</Characters>
  <Application>Microsoft Office Word</Application>
  <DocSecurity>0</DocSecurity>
  <Lines>49</Lines>
  <Paragraphs>14</Paragraphs>
  <ScaleCrop>false</ScaleCrop>
  <Company>TRT. Ltd. Co.</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