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易方达高等级信用债债券型证券投资基金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中国建设银行股份有限公司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CB00BB" w:rsidRDefault="009F7066">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CB00BB" w:rsidRDefault="009F7066">
      <w:pPr>
        <w:spacing w:line="360" w:lineRule="auto"/>
        <w:ind w:firstLineChars="200" w:firstLine="480"/>
        <w:rPr>
          <w:color w:val="000000"/>
          <w:sz w:val="24"/>
        </w:rPr>
      </w:pPr>
      <w:r>
        <w:rPr>
          <w:color w:val="000000"/>
          <w:sz w:val="24"/>
        </w:rPr>
        <w:t>基金托管人中国建设银行股份有限公司根据本基金合同规定，于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CB00BB" w:rsidRDefault="009F7066">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CB00BB" w:rsidRDefault="009F7066">
      <w:pPr>
        <w:spacing w:line="360" w:lineRule="auto"/>
        <w:ind w:firstLineChars="200" w:firstLine="480"/>
        <w:rPr>
          <w:color w:val="000000"/>
          <w:sz w:val="24"/>
        </w:rPr>
      </w:pPr>
      <w:r>
        <w:rPr>
          <w:color w:val="000000"/>
          <w:sz w:val="24"/>
        </w:rPr>
        <w:t>基金的过往业绩并不代表其未来表现。投资有风险，投资者在作</w:t>
      </w:r>
      <w:r>
        <w:rPr>
          <w:color w:val="000000"/>
          <w:sz w:val="24"/>
        </w:rPr>
        <w:t>出投资决策前应仔细阅读本基金的招募说明书。</w:t>
      </w:r>
      <w:r>
        <w:rPr>
          <w:color w:val="000000"/>
          <w:sz w:val="24"/>
        </w:rPr>
        <w:t xml:space="preserve"> </w:t>
      </w:r>
    </w:p>
    <w:p w:rsidR="00CB00BB" w:rsidRDefault="009F7066">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易方达高等级信用债债券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000147</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2013</w:t>
            </w:r>
            <w:r w:rsidRPr="00C30CFF">
              <w:rPr>
                <w:color w:val="000000"/>
                <w:kern w:val="0"/>
                <w:sz w:val="24"/>
              </w:rPr>
              <w:t>年</w:t>
            </w:r>
            <w:r w:rsidRPr="00C30CFF">
              <w:rPr>
                <w:color w:val="000000"/>
                <w:kern w:val="0"/>
                <w:sz w:val="24"/>
              </w:rPr>
              <w:t>8</w:t>
            </w:r>
            <w:r w:rsidRPr="00C30CFF">
              <w:rPr>
                <w:color w:val="000000"/>
                <w:kern w:val="0"/>
                <w:sz w:val="24"/>
              </w:rPr>
              <w:t>月</w:t>
            </w:r>
            <w:r w:rsidRPr="00C30CFF">
              <w:rPr>
                <w:color w:val="000000"/>
                <w:kern w:val="0"/>
                <w:sz w:val="24"/>
              </w:rPr>
              <w:t>23</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8,808,054,808.42</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本基金主要投资于高等级信用债券，力争获得高于业绩比较基准的投资收益。</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采取积极管理的投资策略，在分析和判断宏观经济运行状况和金融市场运行趋势的基础上，确定和动态调整高等级信用债券、中低等级信用债券、利率债券和银行存款等资产类别的配置比例；自上而下地决定债券组合久期及类属配置；同时在严谨深入的信用分析的基础上，自下而上地精选个券，</w:t>
            </w:r>
            <w:r w:rsidRPr="00C30CFF">
              <w:rPr>
                <w:color w:val="000000"/>
                <w:kern w:val="0"/>
                <w:sz w:val="24"/>
              </w:rPr>
              <w:lastRenderedPageBreak/>
              <w:t>力争获得超越业绩比较基准的投资回报。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中债高信用等级债券财富指数</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本基金为债券型基金，其长期平均风险和预期收益率理论上低于股票型基金、混合型基金，高于货币市场基金。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中国建设银行股份有限公司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易方达高等级信用债债券</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易方达高等级信用债债券</w:t>
            </w:r>
            <w:r w:rsidRPr="00C30CFF">
              <w:rPr>
                <w:sz w:val="24"/>
              </w:rPr>
              <w:t>C</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000147</w:t>
            </w:r>
          </w:p>
        </w:tc>
        <w:tc>
          <w:tcPr>
            <w:tcW w:w="2790" w:type="dxa"/>
            <w:vAlign w:val="center"/>
          </w:tcPr>
          <w:p w:rsidR="00F016DD" w:rsidRPr="00C30CFF" w:rsidRDefault="00F016DD" w:rsidP="00950413">
            <w:pPr>
              <w:jc w:val="left"/>
              <w:rPr>
                <w:color w:val="000000"/>
                <w:sz w:val="24"/>
              </w:rPr>
            </w:pPr>
            <w:r w:rsidRPr="00C30CFF">
              <w:rPr>
                <w:color w:val="000000"/>
                <w:sz w:val="24"/>
              </w:rPr>
              <w:t>000148</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7,136,637,124.18</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1,671,417,684.24</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易方达高等级信用债债券</w:t>
            </w:r>
            <w:r w:rsidRPr="00FA472B">
              <w:rPr>
                <w:sz w:val="24"/>
              </w:rPr>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易方达高等级信用债债券</w:t>
            </w:r>
            <w:r w:rsidRPr="00FA472B">
              <w:rPr>
                <w:sz w:val="24"/>
              </w:rPr>
              <w:t>C</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84,229,424.58</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26,617,782.98</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92,267,251.27</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31,053,906.89</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0.0190</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0.0192</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8,195,625,352.35</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1,914,653,717.28</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1.148</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1.146</w:t>
            </w:r>
          </w:p>
        </w:tc>
      </w:tr>
    </w:tbl>
    <w:p w:rsidR="00CB00BB" w:rsidRDefault="009F7066">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lastRenderedPageBreak/>
        <w:t>2.</w:t>
      </w:r>
      <w:r w:rsidRPr="00C30CFF">
        <w:rPr>
          <w:color w:val="000000"/>
          <w:sz w:val="24"/>
        </w:rPr>
        <w:t>本期已实现收益指基金本期利息收入、投资收益、其他收入（不含公允价值变动收益）扣除相关费用后的余额，本期利润为本期已实现收益加上本期公允价值变动收益。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易方达高等级信用债债券A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CB00BB">
        <w:tc>
          <w:tcPr>
            <w:tcW w:w="1290" w:type="dxa"/>
            <w:vAlign w:val="center"/>
          </w:tcPr>
          <w:p w:rsidR="00CB00BB" w:rsidRDefault="009F7066">
            <w:pPr>
              <w:jc w:val="left"/>
            </w:pPr>
            <w:r>
              <w:rPr>
                <w:color w:val="000000"/>
                <w:sz w:val="24"/>
              </w:rPr>
              <w:t>过去三个月</w:t>
            </w:r>
          </w:p>
        </w:tc>
        <w:tc>
          <w:tcPr>
            <w:tcW w:w="1291" w:type="dxa"/>
            <w:vAlign w:val="center"/>
          </w:tcPr>
          <w:p w:rsidR="00CB00BB" w:rsidRDefault="009F7066">
            <w:pPr>
              <w:jc w:val="center"/>
            </w:pPr>
            <w:r>
              <w:rPr>
                <w:color w:val="000000"/>
                <w:sz w:val="24"/>
              </w:rPr>
              <w:t>1.73%</w:t>
            </w:r>
          </w:p>
        </w:tc>
        <w:tc>
          <w:tcPr>
            <w:tcW w:w="1291" w:type="dxa"/>
            <w:vAlign w:val="center"/>
          </w:tcPr>
          <w:p w:rsidR="00CB00BB" w:rsidRDefault="009F7066">
            <w:pPr>
              <w:jc w:val="center"/>
            </w:pPr>
            <w:r>
              <w:rPr>
                <w:color w:val="000000"/>
                <w:sz w:val="24"/>
              </w:rPr>
              <w:t>0.05%</w:t>
            </w:r>
          </w:p>
        </w:tc>
        <w:tc>
          <w:tcPr>
            <w:tcW w:w="1291" w:type="dxa"/>
            <w:vAlign w:val="center"/>
          </w:tcPr>
          <w:p w:rsidR="00CB00BB" w:rsidRDefault="009F7066">
            <w:pPr>
              <w:jc w:val="center"/>
            </w:pPr>
            <w:r>
              <w:rPr>
                <w:color w:val="000000"/>
                <w:sz w:val="24"/>
              </w:rPr>
              <w:t>1.46%</w:t>
            </w:r>
          </w:p>
        </w:tc>
        <w:tc>
          <w:tcPr>
            <w:tcW w:w="1291" w:type="dxa"/>
            <w:vAlign w:val="center"/>
          </w:tcPr>
          <w:p w:rsidR="00CB00BB" w:rsidRDefault="009F7066">
            <w:pPr>
              <w:jc w:val="center"/>
            </w:pPr>
            <w:r>
              <w:rPr>
                <w:color w:val="000000"/>
                <w:sz w:val="24"/>
              </w:rPr>
              <w:t>0.02%</w:t>
            </w:r>
          </w:p>
        </w:tc>
        <w:tc>
          <w:tcPr>
            <w:tcW w:w="1291" w:type="dxa"/>
            <w:vAlign w:val="center"/>
          </w:tcPr>
          <w:p w:rsidR="00CB00BB" w:rsidRDefault="009F7066">
            <w:pPr>
              <w:jc w:val="center"/>
            </w:pPr>
            <w:r>
              <w:rPr>
                <w:color w:val="000000"/>
                <w:sz w:val="24"/>
              </w:rPr>
              <w:t>0.27%</w:t>
            </w:r>
          </w:p>
        </w:tc>
        <w:tc>
          <w:tcPr>
            <w:tcW w:w="1291" w:type="dxa"/>
            <w:vAlign w:val="center"/>
          </w:tcPr>
          <w:p w:rsidR="00CB00BB" w:rsidRDefault="009F7066">
            <w:pPr>
              <w:jc w:val="center"/>
            </w:pPr>
            <w:r>
              <w:rPr>
                <w:color w:val="000000"/>
                <w:sz w:val="24"/>
              </w:rPr>
              <w:t>0.03%</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易方达高等级信用债债券C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CB00BB">
        <w:tc>
          <w:tcPr>
            <w:tcW w:w="1290" w:type="dxa"/>
            <w:vAlign w:val="center"/>
          </w:tcPr>
          <w:p w:rsidR="00CB00BB" w:rsidRDefault="009F7066">
            <w:pPr>
              <w:jc w:val="left"/>
            </w:pPr>
            <w:r>
              <w:rPr>
                <w:color w:val="000000"/>
                <w:sz w:val="24"/>
              </w:rPr>
              <w:t>过去三个月</w:t>
            </w:r>
          </w:p>
        </w:tc>
        <w:tc>
          <w:tcPr>
            <w:tcW w:w="1291" w:type="dxa"/>
            <w:vAlign w:val="center"/>
          </w:tcPr>
          <w:p w:rsidR="00CB00BB" w:rsidRDefault="009F7066">
            <w:pPr>
              <w:jc w:val="center"/>
            </w:pPr>
            <w:r>
              <w:rPr>
                <w:color w:val="000000"/>
                <w:sz w:val="24"/>
              </w:rPr>
              <w:t>1.74%</w:t>
            </w:r>
          </w:p>
        </w:tc>
        <w:tc>
          <w:tcPr>
            <w:tcW w:w="1291" w:type="dxa"/>
            <w:vAlign w:val="center"/>
          </w:tcPr>
          <w:p w:rsidR="00CB00BB" w:rsidRDefault="009F7066">
            <w:pPr>
              <w:jc w:val="center"/>
            </w:pPr>
            <w:r>
              <w:rPr>
                <w:color w:val="000000"/>
                <w:sz w:val="24"/>
              </w:rPr>
              <w:t>0.04%</w:t>
            </w:r>
          </w:p>
        </w:tc>
        <w:tc>
          <w:tcPr>
            <w:tcW w:w="1291" w:type="dxa"/>
            <w:vAlign w:val="center"/>
          </w:tcPr>
          <w:p w:rsidR="00CB00BB" w:rsidRDefault="009F7066">
            <w:pPr>
              <w:jc w:val="center"/>
            </w:pPr>
            <w:r>
              <w:rPr>
                <w:color w:val="000000"/>
                <w:sz w:val="24"/>
              </w:rPr>
              <w:t>1.46%</w:t>
            </w:r>
          </w:p>
        </w:tc>
        <w:tc>
          <w:tcPr>
            <w:tcW w:w="1291" w:type="dxa"/>
            <w:vAlign w:val="center"/>
          </w:tcPr>
          <w:p w:rsidR="00CB00BB" w:rsidRDefault="009F7066">
            <w:pPr>
              <w:jc w:val="center"/>
            </w:pPr>
            <w:r>
              <w:rPr>
                <w:color w:val="000000"/>
                <w:sz w:val="24"/>
              </w:rPr>
              <w:t>0.02%</w:t>
            </w:r>
          </w:p>
        </w:tc>
        <w:tc>
          <w:tcPr>
            <w:tcW w:w="1291" w:type="dxa"/>
            <w:vAlign w:val="center"/>
          </w:tcPr>
          <w:p w:rsidR="00CB00BB" w:rsidRDefault="009F7066">
            <w:pPr>
              <w:jc w:val="center"/>
            </w:pPr>
            <w:r>
              <w:rPr>
                <w:color w:val="000000"/>
                <w:sz w:val="24"/>
              </w:rPr>
              <w:t>0.28%</w:t>
            </w:r>
          </w:p>
        </w:tc>
        <w:tc>
          <w:tcPr>
            <w:tcW w:w="1291" w:type="dxa"/>
            <w:vAlign w:val="center"/>
          </w:tcPr>
          <w:p w:rsidR="00CB00BB" w:rsidRDefault="009F7066">
            <w:pPr>
              <w:jc w:val="center"/>
            </w:pPr>
            <w:r>
              <w:rPr>
                <w:color w:val="000000"/>
                <w:sz w:val="24"/>
              </w:rPr>
              <w:t>0.02%</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易方达高等级信用债债券型证券投资基金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(2013</w:t>
      </w:r>
      <w:r w:rsidRPr="00FA472B">
        <w:rPr>
          <w:rFonts w:ascii="Times New Roman" w:hAnsi="Times New Roman"/>
          <w:sz w:val="24"/>
          <w:szCs w:val="24"/>
        </w:rPr>
        <w:t>年</w:t>
      </w:r>
      <w:r w:rsidRPr="00FA472B">
        <w:rPr>
          <w:rFonts w:ascii="Times New Roman" w:hAnsi="Times New Roman"/>
          <w:sz w:val="24"/>
          <w:szCs w:val="24"/>
        </w:rPr>
        <w:t>8</w:t>
      </w:r>
      <w:r w:rsidRPr="00FA472B">
        <w:rPr>
          <w:rFonts w:ascii="Times New Roman" w:hAnsi="Times New Roman"/>
          <w:sz w:val="24"/>
          <w:szCs w:val="24"/>
        </w:rPr>
        <w:t>月</w:t>
      </w:r>
      <w:r w:rsidRPr="00FA472B">
        <w:rPr>
          <w:rFonts w:ascii="Times New Roman" w:hAnsi="Times New Roman"/>
          <w:sz w:val="24"/>
          <w:szCs w:val="24"/>
        </w:rPr>
        <w:t>23</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易方达高等级信用债债券</w:t>
      </w:r>
      <w:r w:rsidRPr="00611CB2">
        <w:rPr>
          <w:color w:val="000000"/>
          <w:sz w:val="24"/>
        </w:rPr>
        <w:t>A</w:t>
      </w:r>
    </w:p>
    <w:p w:rsidR="00F016DD" w:rsidRPr="0078105B" w:rsidRDefault="009F7066" w:rsidP="00FC7F43">
      <w:pPr>
        <w:pStyle w:val="20"/>
        <w:spacing w:line="288" w:lineRule="auto"/>
        <w:ind w:firstLineChars="0" w:firstLine="0"/>
        <w:jc w:val="center"/>
        <w:rPr>
          <w:color w:val="000000"/>
        </w:rPr>
      </w:pPr>
      <w:r>
        <w:rPr>
          <w:noProof/>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易方达高等级信用债债券</w:t>
      </w:r>
      <w:r w:rsidRPr="00611CB2">
        <w:rPr>
          <w:color w:val="000000"/>
          <w:sz w:val="24"/>
        </w:rPr>
        <w:t>C</w:t>
      </w:r>
    </w:p>
    <w:p w:rsidR="00F016DD" w:rsidRPr="0078105B" w:rsidRDefault="009F7066"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A</w:t>
      </w:r>
      <w:r w:rsidRPr="00DF18FE">
        <w:rPr>
          <w:color w:val="000000"/>
          <w:sz w:val="24"/>
        </w:rPr>
        <w:t>类基金份额净值增长率为</w:t>
      </w:r>
      <w:r w:rsidRPr="00DF18FE">
        <w:rPr>
          <w:color w:val="000000"/>
          <w:sz w:val="24"/>
        </w:rPr>
        <w:t>38.69%</w:t>
      </w:r>
      <w:r w:rsidRPr="00DF18FE">
        <w:rPr>
          <w:color w:val="000000"/>
          <w:sz w:val="24"/>
        </w:rPr>
        <w:t>，</w:t>
      </w:r>
      <w:r w:rsidRPr="00DF18FE">
        <w:rPr>
          <w:color w:val="000000"/>
          <w:sz w:val="24"/>
        </w:rPr>
        <w:t>C</w:t>
      </w:r>
      <w:r w:rsidRPr="00DF18FE">
        <w:rPr>
          <w:color w:val="000000"/>
          <w:sz w:val="24"/>
        </w:rPr>
        <w:t>类基金份额净值增长率为</w:t>
      </w:r>
      <w:r w:rsidRPr="00DF18FE">
        <w:rPr>
          <w:color w:val="000000"/>
          <w:sz w:val="24"/>
        </w:rPr>
        <w:t>38.01%</w:t>
      </w:r>
      <w:r w:rsidRPr="00DF18FE">
        <w:rPr>
          <w:color w:val="000000"/>
          <w:sz w:val="24"/>
        </w:rPr>
        <w:t>，同期业绩比较基准收益率为</w:t>
      </w:r>
      <w:r w:rsidRPr="00DF18FE">
        <w:rPr>
          <w:color w:val="000000"/>
          <w:sz w:val="24"/>
        </w:rPr>
        <w:t>39.90%</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lastRenderedPageBreak/>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CB00BB">
        <w:tc>
          <w:tcPr>
            <w:tcW w:w="567" w:type="dxa"/>
            <w:vAlign w:val="center"/>
          </w:tcPr>
          <w:p w:rsidR="00CB00BB" w:rsidRDefault="009F7066">
            <w:pPr>
              <w:jc w:val="center"/>
            </w:pPr>
            <w:r>
              <w:rPr>
                <w:color w:val="000000"/>
                <w:sz w:val="24"/>
              </w:rPr>
              <w:t>胡剑</w:t>
            </w:r>
          </w:p>
        </w:tc>
        <w:tc>
          <w:tcPr>
            <w:tcW w:w="2835" w:type="dxa"/>
            <w:vAlign w:val="center"/>
          </w:tcPr>
          <w:p w:rsidR="00CB00BB" w:rsidRDefault="009F7066">
            <w:pPr>
              <w:jc w:val="center"/>
            </w:pPr>
            <w:r>
              <w:rPr>
                <w:color w:val="000000"/>
                <w:sz w:val="24"/>
              </w:rPr>
              <w:t>本基金的基金经理、易方达裕惠回报定期开放式混合型发起式证券投资基金的基金经理、易方达信用债债券型证券投资基金的基金经理、易方达稳健收益债券型证券投资基金的基金经理、易方达岁丰添利债券型证券投资基金的基金经理、易方达瑞祺灵活配置混合型证券投资基金的基金经理、易方达瑞智灵活配置混合型证券投资基金的基金经理（自</w:t>
            </w:r>
            <w:r>
              <w:rPr>
                <w:color w:val="000000"/>
                <w:sz w:val="24"/>
              </w:rPr>
              <w:t>2017</w:t>
            </w:r>
            <w:r>
              <w:rPr>
                <w:color w:val="000000"/>
                <w:sz w:val="24"/>
              </w:rPr>
              <w:t>年</w:t>
            </w:r>
            <w:r>
              <w:rPr>
                <w:color w:val="000000"/>
                <w:sz w:val="24"/>
              </w:rPr>
              <w:t>06</w:t>
            </w:r>
            <w:r>
              <w:rPr>
                <w:color w:val="000000"/>
                <w:sz w:val="24"/>
              </w:rPr>
              <w:t>月</w:t>
            </w:r>
            <w:r>
              <w:rPr>
                <w:color w:val="000000"/>
                <w:sz w:val="24"/>
              </w:rPr>
              <w:t>21</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日）、易方达瑞兴灵活配置混合型证券投资基金的基金经理（自</w:t>
            </w:r>
            <w:r>
              <w:rPr>
                <w:color w:val="000000"/>
                <w:sz w:val="24"/>
              </w:rPr>
              <w:t>2017</w:t>
            </w:r>
            <w:r>
              <w:rPr>
                <w:color w:val="000000"/>
                <w:sz w:val="24"/>
              </w:rPr>
              <w:t>年</w:t>
            </w:r>
            <w:r>
              <w:rPr>
                <w:color w:val="000000"/>
                <w:sz w:val="24"/>
              </w:rPr>
              <w:t>06</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日）、易方达瑞祥灵活配置混合型证券投资基金的基金经理（自</w:t>
            </w:r>
            <w:r>
              <w:rPr>
                <w:color w:val="000000"/>
                <w:sz w:val="24"/>
              </w:rPr>
              <w:t>201</w:t>
            </w:r>
            <w:r>
              <w:rPr>
                <w:color w:val="000000"/>
                <w:sz w:val="24"/>
              </w:rPr>
              <w:t>8</w:t>
            </w:r>
            <w:r>
              <w:rPr>
                <w:color w:val="000000"/>
                <w:sz w:val="24"/>
              </w:rPr>
              <w:t>年</w:t>
            </w:r>
            <w:r>
              <w:rPr>
                <w:color w:val="000000"/>
                <w:sz w:val="24"/>
              </w:rPr>
              <w:t>01</w:t>
            </w:r>
            <w:r>
              <w:rPr>
                <w:color w:val="000000"/>
                <w:sz w:val="24"/>
              </w:rPr>
              <w:t>月</w:t>
            </w:r>
            <w:r>
              <w:rPr>
                <w:color w:val="000000"/>
                <w:sz w:val="24"/>
              </w:rPr>
              <w:t>19</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日）、易方达瑞富灵活配置混合型证券投资基金的基金经理、易方达瑞财灵活配置混合型证券投资基金的基金经理、易方达恒益定期开放债券型发起式证券投资基金的基金经理、易方达恒盛</w:t>
            </w:r>
            <w:r>
              <w:rPr>
                <w:color w:val="000000"/>
                <w:sz w:val="24"/>
              </w:rPr>
              <w:t>3</w:t>
            </w:r>
            <w:r>
              <w:rPr>
                <w:color w:val="000000"/>
                <w:sz w:val="24"/>
              </w:rPr>
              <w:t>个月定期开放混合型发起式证券投资基金的基金经理、易方达恒利</w:t>
            </w:r>
            <w:r>
              <w:rPr>
                <w:color w:val="000000"/>
                <w:sz w:val="24"/>
              </w:rPr>
              <w:t>3</w:t>
            </w:r>
            <w:r>
              <w:rPr>
                <w:color w:val="000000"/>
                <w:sz w:val="24"/>
              </w:rPr>
              <w:t>个月定期开放债券型发起式证券投资基金的基金经理、易方达丰惠混合型证券投资基金的</w:t>
            </w:r>
            <w:r>
              <w:rPr>
                <w:color w:val="000000"/>
                <w:sz w:val="24"/>
              </w:rPr>
              <w:lastRenderedPageBreak/>
              <w:t>基金经理、易方达</w:t>
            </w:r>
            <w:r>
              <w:rPr>
                <w:color w:val="000000"/>
                <w:sz w:val="24"/>
              </w:rPr>
              <w:t>3</w:t>
            </w:r>
            <w:r>
              <w:rPr>
                <w:color w:val="000000"/>
                <w:sz w:val="24"/>
              </w:rPr>
              <w:t>年封闭运作战略配售灵活配置混合型证券投资基金</w:t>
            </w:r>
            <w:r>
              <w:rPr>
                <w:color w:val="000000"/>
                <w:sz w:val="24"/>
              </w:rPr>
              <w:t>(LOF)</w:t>
            </w:r>
            <w:r>
              <w:rPr>
                <w:color w:val="000000"/>
                <w:sz w:val="24"/>
              </w:rPr>
              <w:t>的基金经理、固定收益研究部总经理、固定收益投资部总经理</w:t>
            </w:r>
          </w:p>
        </w:tc>
        <w:tc>
          <w:tcPr>
            <w:tcW w:w="851" w:type="dxa"/>
            <w:vAlign w:val="center"/>
          </w:tcPr>
          <w:p w:rsidR="00CB00BB" w:rsidRDefault="009F7066">
            <w:pPr>
              <w:jc w:val="center"/>
            </w:pPr>
            <w:r>
              <w:rPr>
                <w:color w:val="000000"/>
                <w:sz w:val="24"/>
              </w:rPr>
              <w:lastRenderedPageBreak/>
              <w:t>2017-03-07</w:t>
            </w:r>
          </w:p>
        </w:tc>
        <w:tc>
          <w:tcPr>
            <w:tcW w:w="850" w:type="dxa"/>
            <w:vAlign w:val="center"/>
          </w:tcPr>
          <w:p w:rsidR="00CB00BB" w:rsidRDefault="009F7066">
            <w:pPr>
              <w:jc w:val="center"/>
            </w:pPr>
            <w:r>
              <w:rPr>
                <w:color w:val="000000"/>
                <w:sz w:val="24"/>
              </w:rPr>
              <w:t>2019-09-1</w:t>
            </w:r>
            <w:r>
              <w:rPr>
                <w:color w:val="000000"/>
                <w:sz w:val="24"/>
              </w:rPr>
              <w:t>8</w:t>
            </w:r>
          </w:p>
        </w:tc>
        <w:tc>
          <w:tcPr>
            <w:tcW w:w="851" w:type="dxa"/>
            <w:vAlign w:val="center"/>
          </w:tcPr>
          <w:p w:rsidR="00CB00BB" w:rsidRDefault="009F7066">
            <w:pPr>
              <w:jc w:val="center"/>
            </w:pPr>
            <w:r>
              <w:rPr>
                <w:color w:val="000000"/>
                <w:sz w:val="24"/>
              </w:rPr>
              <w:t>13</w:t>
            </w:r>
            <w:r>
              <w:rPr>
                <w:color w:val="000000"/>
                <w:sz w:val="24"/>
              </w:rPr>
              <w:t>年</w:t>
            </w:r>
          </w:p>
        </w:tc>
        <w:tc>
          <w:tcPr>
            <w:tcW w:w="2977" w:type="dxa"/>
            <w:vAlign w:val="center"/>
          </w:tcPr>
          <w:p w:rsidR="00CB00BB" w:rsidRDefault="009F7066">
            <w:r>
              <w:rPr>
                <w:color w:val="000000"/>
                <w:sz w:val="24"/>
              </w:rPr>
              <w:t>硕士研究生，曾任易方达基金管理有限公司固定收益部债券研究员、基金经理助理兼债券研究员、固定收益研究部负责人、固定收益总部总经理助理、易方达中债新综合债券指数发起式证券投资基金（</w:t>
            </w:r>
            <w:r>
              <w:rPr>
                <w:color w:val="000000"/>
                <w:sz w:val="24"/>
              </w:rPr>
              <w:t>LOF</w:t>
            </w:r>
            <w:r>
              <w:rPr>
                <w:color w:val="000000"/>
                <w:sz w:val="24"/>
              </w:rPr>
              <w:t>）基金经理、易方达纯债</w:t>
            </w:r>
            <w:r>
              <w:rPr>
                <w:color w:val="000000"/>
                <w:sz w:val="24"/>
              </w:rPr>
              <w:t>1</w:t>
            </w:r>
            <w:r>
              <w:rPr>
                <w:color w:val="000000"/>
                <w:sz w:val="24"/>
              </w:rPr>
              <w:t>年定期开放债券型证券投资基金基金经理、易方达永旭添利定期开放债券型证券投资基金基金经理、易方达纯债债券型证券投资基金基金经理、易方达裕景添利</w:t>
            </w:r>
            <w:r>
              <w:rPr>
                <w:color w:val="000000"/>
                <w:sz w:val="24"/>
              </w:rPr>
              <w:t>6</w:t>
            </w:r>
            <w:r>
              <w:rPr>
                <w:color w:val="000000"/>
                <w:sz w:val="24"/>
              </w:rPr>
              <w:t>个月定期开放债券型证券投资基金基金经理。</w:t>
            </w:r>
          </w:p>
        </w:tc>
      </w:tr>
      <w:tr w:rsidR="00CB00BB">
        <w:tc>
          <w:tcPr>
            <w:tcW w:w="567" w:type="dxa"/>
            <w:vAlign w:val="center"/>
          </w:tcPr>
          <w:p w:rsidR="00CB00BB" w:rsidRDefault="009F7066">
            <w:pPr>
              <w:jc w:val="center"/>
            </w:pPr>
            <w:r>
              <w:rPr>
                <w:color w:val="000000"/>
                <w:sz w:val="24"/>
              </w:rPr>
              <w:t>林森</w:t>
            </w:r>
          </w:p>
        </w:tc>
        <w:tc>
          <w:tcPr>
            <w:tcW w:w="2835" w:type="dxa"/>
            <w:vAlign w:val="center"/>
          </w:tcPr>
          <w:p w:rsidR="00CB00BB" w:rsidRDefault="009F7066">
            <w:pPr>
              <w:jc w:val="center"/>
            </w:pPr>
            <w:r>
              <w:rPr>
                <w:color w:val="000000"/>
                <w:sz w:val="24"/>
              </w:rPr>
              <w:t>本基金的基金经理、易方达裕祥回报债券型证券投资基金的基金经理、易方达裕景添利</w:t>
            </w:r>
            <w:r>
              <w:rPr>
                <w:color w:val="000000"/>
                <w:sz w:val="24"/>
              </w:rPr>
              <w:t>6</w:t>
            </w:r>
            <w:r>
              <w:rPr>
                <w:color w:val="000000"/>
                <w:sz w:val="24"/>
              </w:rPr>
              <w:t>个月定期开放债券型证券投资基金的基金经理、易方达新益灵活配置混合型证券投资基金的基金经理（自</w:t>
            </w:r>
            <w:r>
              <w:rPr>
                <w:color w:val="000000"/>
                <w:sz w:val="24"/>
              </w:rPr>
              <w:t>2016</w:t>
            </w:r>
            <w:r>
              <w:rPr>
                <w:color w:val="000000"/>
                <w:sz w:val="24"/>
              </w:rPr>
              <w:t>年</w:t>
            </w:r>
            <w:r>
              <w:rPr>
                <w:color w:val="000000"/>
                <w:sz w:val="24"/>
              </w:rPr>
              <w:t>03</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瑞选灵活配置混合型证券投资基金的基金经理、易方达瑞通灵活配置混合型证券投资基金的基金经理、易方达瑞弘灵活配置混合型证券投资基金的基金经理、易方达瑞程灵活配置混合型证券投资基金的基金经理、易方达安心回馈混合型证券投资基金的基金经理、固定收益投资部总经理助理、投资经理</w:t>
            </w:r>
          </w:p>
        </w:tc>
        <w:tc>
          <w:tcPr>
            <w:tcW w:w="851" w:type="dxa"/>
            <w:vAlign w:val="center"/>
          </w:tcPr>
          <w:p w:rsidR="00CB00BB" w:rsidRDefault="009F7066">
            <w:pPr>
              <w:jc w:val="center"/>
            </w:pPr>
            <w:r>
              <w:rPr>
                <w:color w:val="000000"/>
                <w:sz w:val="24"/>
              </w:rPr>
              <w:t>2018-03-24</w:t>
            </w:r>
          </w:p>
        </w:tc>
        <w:tc>
          <w:tcPr>
            <w:tcW w:w="850" w:type="dxa"/>
            <w:vAlign w:val="center"/>
          </w:tcPr>
          <w:p w:rsidR="00CB00BB" w:rsidRDefault="009F7066">
            <w:pPr>
              <w:jc w:val="center"/>
            </w:pPr>
            <w:r>
              <w:rPr>
                <w:color w:val="000000"/>
                <w:sz w:val="24"/>
              </w:rPr>
              <w:t>-</w:t>
            </w:r>
          </w:p>
        </w:tc>
        <w:tc>
          <w:tcPr>
            <w:tcW w:w="851" w:type="dxa"/>
            <w:vAlign w:val="center"/>
          </w:tcPr>
          <w:p w:rsidR="00CB00BB" w:rsidRDefault="009F7066">
            <w:pPr>
              <w:jc w:val="center"/>
            </w:pPr>
            <w:r>
              <w:rPr>
                <w:color w:val="000000"/>
                <w:sz w:val="24"/>
              </w:rPr>
              <w:t>9</w:t>
            </w:r>
            <w:r>
              <w:rPr>
                <w:color w:val="000000"/>
                <w:sz w:val="24"/>
              </w:rPr>
              <w:t>年</w:t>
            </w:r>
          </w:p>
        </w:tc>
        <w:tc>
          <w:tcPr>
            <w:tcW w:w="2977" w:type="dxa"/>
            <w:vAlign w:val="center"/>
          </w:tcPr>
          <w:p w:rsidR="00CB00BB" w:rsidRDefault="009F7066">
            <w:r>
              <w:rPr>
                <w:color w:val="000000"/>
                <w:sz w:val="24"/>
              </w:rPr>
              <w:t>硕士研究生，曾任道富银行风险管理部风险管理经理、外汇利率交易部利率交易员，太平洋资产管理公司基金管理部基金经理，易方达基金管理有限公司易方达安心回馈混合型证券投资基金基金经理助理、易方达瑞通灵活配置混合型证券投资基金基金经理助理、易方达裕祥回报债券型证券投资基金基金经理助理、易方达新收益灵活配置混合型证券投资基金基金经理助理、易方达瑞选灵活配置混合型证券投资基金基金经理助理、易方达裕景添利</w:t>
            </w:r>
            <w:r>
              <w:rPr>
                <w:color w:val="000000"/>
                <w:sz w:val="24"/>
              </w:rPr>
              <w:t>6</w:t>
            </w:r>
            <w:r>
              <w:rPr>
                <w:color w:val="000000"/>
                <w:sz w:val="24"/>
              </w:rPr>
              <w:t>个月定期开放债券型证券投资基金基金经理助理、易方达高等级信用债债券型证券投资基金基金经理助理、易方达新收益</w:t>
            </w:r>
            <w:r>
              <w:rPr>
                <w:color w:val="000000"/>
                <w:sz w:val="24"/>
              </w:rPr>
              <w:t>灵活配置混合型证券投资基金基金经理。</w:t>
            </w:r>
          </w:p>
        </w:tc>
      </w:tr>
    </w:tbl>
    <w:p w:rsidR="00CB00BB" w:rsidRDefault="009F7066">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w:t>
      </w:r>
      <w:r w:rsidRPr="00DF18FE">
        <w:rPr>
          <w:color w:val="000000"/>
          <w:sz w:val="24"/>
        </w:rPr>
        <w:lastRenderedPageBreak/>
        <w:t>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CB00BB" w:rsidRDefault="009F7066">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CB00BB" w:rsidRDefault="009F7066">
      <w:pPr>
        <w:spacing w:line="360" w:lineRule="auto"/>
        <w:ind w:firstLineChars="200" w:firstLine="480"/>
        <w:rPr>
          <w:color w:val="000000"/>
          <w:sz w:val="24"/>
        </w:rPr>
      </w:pPr>
      <w:r>
        <w:rPr>
          <w:color w:val="000000"/>
          <w:sz w:val="24"/>
        </w:rPr>
        <w:t>2019</w:t>
      </w:r>
      <w:r>
        <w:rPr>
          <w:color w:val="000000"/>
          <w:sz w:val="24"/>
        </w:rPr>
        <w:t>年三季度，利率债收益率呈</w:t>
      </w:r>
      <w:r>
        <w:rPr>
          <w:color w:val="000000"/>
          <w:sz w:val="24"/>
        </w:rPr>
        <w:t>“V”</w:t>
      </w:r>
      <w:r>
        <w:rPr>
          <w:color w:val="000000"/>
          <w:sz w:val="24"/>
        </w:rPr>
        <w:t>型走势，经济、通胀和政策预期变化等因素是核心驱动。</w:t>
      </w:r>
      <w:r>
        <w:rPr>
          <w:color w:val="000000"/>
          <w:sz w:val="24"/>
        </w:rPr>
        <w:t>7</w:t>
      </w:r>
      <w:r>
        <w:rPr>
          <w:color w:val="000000"/>
          <w:sz w:val="24"/>
        </w:rPr>
        <w:t>月以来，在制造业</w:t>
      </w:r>
      <w:r>
        <w:rPr>
          <w:color w:val="000000"/>
          <w:sz w:val="24"/>
        </w:rPr>
        <w:t>PMI</w:t>
      </w:r>
      <w:r>
        <w:rPr>
          <w:color w:val="000000"/>
          <w:sz w:val="24"/>
        </w:rPr>
        <w:t>持续低迷、降准降息预期等影响下，长端收益率震荡下行。随后，政治局会议对经济、政策的表态，及中美贸易摩擦升级、人民币汇率快速贬值等，推动长端收益率突破年内低点；</w:t>
      </w:r>
      <w:r>
        <w:rPr>
          <w:color w:val="000000"/>
          <w:sz w:val="24"/>
        </w:rPr>
        <w:t>8</w:t>
      </w:r>
      <w:r>
        <w:rPr>
          <w:color w:val="000000"/>
          <w:sz w:val="24"/>
        </w:rPr>
        <w:t>月中下旬开始，债市进入区间震荡，地方债额度提升、政金债纳入同业投资管理等，推动长端收益率有所上行。临近季度末，通胀预期升温、货币宽松预期下降，以及债市调整引发的减持等，导致债市调整延续。整个季度来看，</w:t>
      </w:r>
      <w:r>
        <w:rPr>
          <w:color w:val="000000"/>
          <w:sz w:val="24"/>
        </w:rPr>
        <w:t>10</w:t>
      </w:r>
      <w:r>
        <w:rPr>
          <w:color w:val="000000"/>
          <w:sz w:val="24"/>
        </w:rPr>
        <w:t>年期国债和国开债收益率均下行</w:t>
      </w:r>
      <w:r>
        <w:rPr>
          <w:color w:val="000000"/>
          <w:sz w:val="24"/>
        </w:rPr>
        <w:t>8BP</w:t>
      </w:r>
      <w:r>
        <w:rPr>
          <w:color w:val="000000"/>
          <w:sz w:val="24"/>
        </w:rPr>
        <w:t>，</w:t>
      </w:r>
      <w:r>
        <w:rPr>
          <w:color w:val="000000"/>
          <w:sz w:val="24"/>
        </w:rPr>
        <w:t>收益率整体仍是以下行为主。信用债则主要跟随利率债走势，收益率总体来看也是下行，中票收益率下行幅度大于城投债，信用利差多数呈收窄趋势。</w:t>
      </w:r>
    </w:p>
    <w:p w:rsidR="00F016DD" w:rsidRPr="00DF18FE" w:rsidRDefault="00F016DD" w:rsidP="00DF18FE">
      <w:pPr>
        <w:spacing w:line="360" w:lineRule="auto"/>
        <w:ind w:firstLineChars="200" w:firstLine="480"/>
        <w:rPr>
          <w:color w:val="000000"/>
          <w:sz w:val="24"/>
        </w:rPr>
      </w:pPr>
      <w:r w:rsidRPr="00DF18FE">
        <w:rPr>
          <w:color w:val="000000"/>
          <w:sz w:val="24"/>
        </w:rPr>
        <w:t>操作上，本组合力争通过自下而上选择个券获得超额收益。组合持仓主要为信用债。</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1.148</w:t>
      </w:r>
      <w:r w:rsidRPr="00DF18FE">
        <w:rPr>
          <w:color w:val="000000"/>
          <w:sz w:val="24"/>
        </w:rPr>
        <w:t>元，本报告期份额净值增长率</w:t>
      </w:r>
      <w:r w:rsidRPr="00DF18FE">
        <w:rPr>
          <w:color w:val="000000"/>
          <w:sz w:val="24"/>
        </w:rPr>
        <w:lastRenderedPageBreak/>
        <w:t>为</w:t>
      </w:r>
      <w:r w:rsidRPr="00DF18FE">
        <w:rPr>
          <w:color w:val="000000"/>
          <w:sz w:val="24"/>
        </w:rPr>
        <w:t>1.73%</w:t>
      </w:r>
      <w:r w:rsidRPr="00DF18FE">
        <w:rPr>
          <w:color w:val="000000"/>
          <w:sz w:val="24"/>
        </w:rPr>
        <w:t>；</w:t>
      </w:r>
      <w:r w:rsidRPr="00DF18FE">
        <w:rPr>
          <w:color w:val="000000"/>
          <w:sz w:val="24"/>
        </w:rPr>
        <w:t>C</w:t>
      </w:r>
      <w:r w:rsidRPr="00DF18FE">
        <w:rPr>
          <w:color w:val="000000"/>
          <w:sz w:val="24"/>
        </w:rPr>
        <w:t>类基金份额净值为</w:t>
      </w:r>
      <w:r w:rsidRPr="00DF18FE">
        <w:rPr>
          <w:color w:val="000000"/>
          <w:sz w:val="24"/>
        </w:rPr>
        <w:t>1.146</w:t>
      </w:r>
      <w:r w:rsidRPr="00DF18FE">
        <w:rPr>
          <w:color w:val="000000"/>
          <w:sz w:val="24"/>
        </w:rPr>
        <w:t>元，本报告期份额净值增长率为</w:t>
      </w:r>
      <w:r w:rsidRPr="00DF18FE">
        <w:rPr>
          <w:color w:val="000000"/>
          <w:sz w:val="24"/>
        </w:rPr>
        <w:t>1.74%</w:t>
      </w:r>
      <w:r w:rsidRPr="00DF18FE">
        <w:rPr>
          <w:color w:val="000000"/>
          <w:sz w:val="24"/>
        </w:rPr>
        <w:t>；同期业绩比较基准收益率为</w:t>
      </w:r>
      <w:r w:rsidRPr="00DF18FE">
        <w:rPr>
          <w:color w:val="000000"/>
          <w:sz w:val="24"/>
        </w:rPr>
        <w:t>1.46%</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11,932,658,878.60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96.97</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11,932,658,878.60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96.97</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175,027,523.83</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1.42</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198,409,890.60</w:t>
            </w:r>
          </w:p>
        </w:tc>
        <w:tc>
          <w:tcPr>
            <w:tcW w:w="1843" w:type="dxa"/>
            <w:vAlign w:val="center"/>
          </w:tcPr>
          <w:p w:rsidR="00F016DD" w:rsidRPr="00FA472B" w:rsidRDefault="00F016DD" w:rsidP="00F4518C">
            <w:pPr>
              <w:jc w:val="right"/>
              <w:rPr>
                <w:color w:val="000000"/>
                <w:sz w:val="24"/>
              </w:rPr>
            </w:pPr>
            <w:r w:rsidRPr="00FA472B">
              <w:rPr>
                <w:color w:val="000000"/>
                <w:sz w:val="24"/>
              </w:rPr>
              <w:t>1.61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12,306,096,293.03</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p w:rsidR="00874AA3" w:rsidRPr="00EA6415" w:rsidRDefault="00874AA3" w:rsidP="00EA6415">
      <w:pPr>
        <w:spacing w:line="360" w:lineRule="auto"/>
        <w:ind w:firstLineChars="200" w:firstLine="480"/>
        <w:rPr>
          <w:color w:val="000000"/>
          <w:sz w:val="24"/>
        </w:rPr>
      </w:pPr>
      <w:r w:rsidRPr="00EA6415">
        <w:rPr>
          <w:color w:val="000000"/>
          <w:sz w:val="24"/>
        </w:rPr>
        <w:t>本基金本报告期末未持有境内股票。</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w:t>
            </w:r>
            <w:r w:rsidRPr="006A1153">
              <w:rPr>
                <w:rFonts w:eastAsiaTheme="minorEastAsia"/>
                <w:color w:val="000000" w:themeColor="text1"/>
                <w:sz w:val="24"/>
              </w:rPr>
              <w:lastRenderedPageBreak/>
              <w:t>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lastRenderedPageBreak/>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509,423,000.00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5.04</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509,423,000.00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5.04</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6,470,423,378.60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64.00</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120,622,000.00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1.19</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4,811,838,500.00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47.59</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20,352,000.00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0.20</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11,932,658,878.60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118.03</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CB00BB">
        <w:tc>
          <w:tcPr>
            <w:tcW w:w="802" w:type="dxa"/>
            <w:vAlign w:val="center"/>
          </w:tcPr>
          <w:p w:rsidR="00CB00BB" w:rsidRDefault="009F7066">
            <w:pPr>
              <w:jc w:val="center"/>
            </w:pPr>
            <w:r>
              <w:rPr>
                <w:color w:val="000000"/>
                <w:sz w:val="24"/>
              </w:rPr>
              <w:t>1</w:t>
            </w:r>
          </w:p>
        </w:tc>
        <w:tc>
          <w:tcPr>
            <w:tcW w:w="1559" w:type="dxa"/>
            <w:vAlign w:val="center"/>
          </w:tcPr>
          <w:p w:rsidR="00CB00BB" w:rsidRDefault="009F7066">
            <w:pPr>
              <w:jc w:val="center"/>
            </w:pPr>
            <w:r>
              <w:rPr>
                <w:color w:val="000000"/>
                <w:sz w:val="24"/>
              </w:rPr>
              <w:t>100222</w:t>
            </w:r>
          </w:p>
        </w:tc>
        <w:tc>
          <w:tcPr>
            <w:tcW w:w="1985" w:type="dxa"/>
            <w:vAlign w:val="center"/>
          </w:tcPr>
          <w:p w:rsidR="00CB00BB" w:rsidRDefault="009F7066">
            <w:pPr>
              <w:jc w:val="center"/>
            </w:pPr>
            <w:r>
              <w:rPr>
                <w:color w:val="000000"/>
                <w:sz w:val="24"/>
              </w:rPr>
              <w:t>10</w:t>
            </w:r>
            <w:r>
              <w:rPr>
                <w:color w:val="000000"/>
                <w:sz w:val="24"/>
              </w:rPr>
              <w:t>国开</w:t>
            </w:r>
            <w:r>
              <w:rPr>
                <w:color w:val="000000"/>
                <w:sz w:val="24"/>
              </w:rPr>
              <w:t>22</w:t>
            </w:r>
          </w:p>
        </w:tc>
        <w:tc>
          <w:tcPr>
            <w:tcW w:w="1559" w:type="dxa"/>
            <w:vAlign w:val="center"/>
          </w:tcPr>
          <w:p w:rsidR="00CB00BB" w:rsidRDefault="009F7066">
            <w:pPr>
              <w:jc w:val="right"/>
            </w:pPr>
            <w:r>
              <w:rPr>
                <w:color w:val="000000"/>
                <w:sz w:val="24"/>
              </w:rPr>
              <w:t>2,400,000</w:t>
            </w:r>
          </w:p>
        </w:tc>
        <w:tc>
          <w:tcPr>
            <w:tcW w:w="2126" w:type="dxa"/>
            <w:vAlign w:val="center"/>
          </w:tcPr>
          <w:p w:rsidR="00CB00BB" w:rsidRDefault="009F7066">
            <w:pPr>
              <w:jc w:val="right"/>
            </w:pPr>
            <w:r>
              <w:rPr>
                <w:color w:val="000000"/>
                <w:sz w:val="24"/>
              </w:rPr>
              <w:t>238,152,000.00</w:t>
            </w:r>
          </w:p>
        </w:tc>
        <w:tc>
          <w:tcPr>
            <w:tcW w:w="990" w:type="dxa"/>
            <w:vAlign w:val="center"/>
          </w:tcPr>
          <w:p w:rsidR="00CB00BB" w:rsidRDefault="009F7066">
            <w:pPr>
              <w:jc w:val="right"/>
            </w:pPr>
            <w:r>
              <w:rPr>
                <w:color w:val="000000"/>
                <w:sz w:val="24"/>
              </w:rPr>
              <w:t>2.36</w:t>
            </w:r>
          </w:p>
        </w:tc>
      </w:tr>
      <w:tr w:rsidR="00CB00BB">
        <w:tc>
          <w:tcPr>
            <w:tcW w:w="802" w:type="dxa"/>
            <w:vAlign w:val="center"/>
          </w:tcPr>
          <w:p w:rsidR="00CB00BB" w:rsidRDefault="009F7066">
            <w:pPr>
              <w:jc w:val="center"/>
            </w:pPr>
            <w:r>
              <w:rPr>
                <w:color w:val="000000"/>
                <w:sz w:val="24"/>
              </w:rPr>
              <w:t>2</w:t>
            </w:r>
          </w:p>
        </w:tc>
        <w:tc>
          <w:tcPr>
            <w:tcW w:w="1559" w:type="dxa"/>
            <w:vAlign w:val="center"/>
          </w:tcPr>
          <w:p w:rsidR="00CB00BB" w:rsidRDefault="009F7066">
            <w:pPr>
              <w:jc w:val="center"/>
            </w:pPr>
            <w:r>
              <w:rPr>
                <w:color w:val="000000"/>
                <w:sz w:val="24"/>
              </w:rPr>
              <w:t>101901052</w:t>
            </w:r>
          </w:p>
        </w:tc>
        <w:tc>
          <w:tcPr>
            <w:tcW w:w="1985" w:type="dxa"/>
            <w:vAlign w:val="center"/>
          </w:tcPr>
          <w:p w:rsidR="00CB00BB" w:rsidRDefault="009F7066">
            <w:pPr>
              <w:jc w:val="center"/>
            </w:pPr>
            <w:r>
              <w:rPr>
                <w:color w:val="000000"/>
                <w:sz w:val="24"/>
              </w:rPr>
              <w:t>19</w:t>
            </w:r>
            <w:r>
              <w:rPr>
                <w:color w:val="000000"/>
                <w:sz w:val="24"/>
              </w:rPr>
              <w:t>日照港</w:t>
            </w:r>
            <w:r>
              <w:rPr>
                <w:color w:val="000000"/>
                <w:sz w:val="24"/>
              </w:rPr>
              <w:t>MTN001</w:t>
            </w:r>
          </w:p>
        </w:tc>
        <w:tc>
          <w:tcPr>
            <w:tcW w:w="1559" w:type="dxa"/>
            <w:vAlign w:val="center"/>
          </w:tcPr>
          <w:p w:rsidR="00CB00BB" w:rsidRDefault="009F7066">
            <w:pPr>
              <w:jc w:val="right"/>
            </w:pPr>
            <w:r>
              <w:rPr>
                <w:color w:val="000000"/>
                <w:sz w:val="24"/>
              </w:rPr>
              <w:t>1,900,000</w:t>
            </w:r>
          </w:p>
        </w:tc>
        <w:tc>
          <w:tcPr>
            <w:tcW w:w="2126" w:type="dxa"/>
            <w:vAlign w:val="center"/>
          </w:tcPr>
          <w:p w:rsidR="00CB00BB" w:rsidRDefault="009F7066">
            <w:pPr>
              <w:jc w:val="right"/>
            </w:pPr>
            <w:r>
              <w:rPr>
                <w:color w:val="000000"/>
                <w:sz w:val="24"/>
              </w:rPr>
              <w:t>190,494,000.00</w:t>
            </w:r>
          </w:p>
        </w:tc>
        <w:tc>
          <w:tcPr>
            <w:tcW w:w="990" w:type="dxa"/>
            <w:vAlign w:val="center"/>
          </w:tcPr>
          <w:p w:rsidR="00CB00BB" w:rsidRDefault="009F7066">
            <w:pPr>
              <w:jc w:val="right"/>
            </w:pPr>
            <w:r>
              <w:rPr>
                <w:color w:val="000000"/>
                <w:sz w:val="24"/>
              </w:rPr>
              <w:t>1.88</w:t>
            </w:r>
          </w:p>
        </w:tc>
      </w:tr>
      <w:tr w:rsidR="00CB00BB">
        <w:tc>
          <w:tcPr>
            <w:tcW w:w="802" w:type="dxa"/>
            <w:vAlign w:val="center"/>
          </w:tcPr>
          <w:p w:rsidR="00CB00BB" w:rsidRDefault="009F7066">
            <w:pPr>
              <w:jc w:val="center"/>
            </w:pPr>
            <w:r>
              <w:rPr>
                <w:color w:val="000000"/>
                <w:sz w:val="24"/>
              </w:rPr>
              <w:t>3</w:t>
            </w:r>
          </w:p>
        </w:tc>
        <w:tc>
          <w:tcPr>
            <w:tcW w:w="1559" w:type="dxa"/>
            <w:vAlign w:val="center"/>
          </w:tcPr>
          <w:p w:rsidR="00CB00BB" w:rsidRDefault="009F7066">
            <w:pPr>
              <w:jc w:val="center"/>
            </w:pPr>
            <w:r>
              <w:rPr>
                <w:color w:val="000000"/>
                <w:sz w:val="24"/>
              </w:rPr>
              <w:t>1780226</w:t>
            </w:r>
          </w:p>
        </w:tc>
        <w:tc>
          <w:tcPr>
            <w:tcW w:w="1985" w:type="dxa"/>
            <w:vAlign w:val="center"/>
          </w:tcPr>
          <w:p w:rsidR="00CB00BB" w:rsidRDefault="009F7066">
            <w:pPr>
              <w:jc w:val="center"/>
            </w:pPr>
            <w:r>
              <w:rPr>
                <w:color w:val="000000"/>
                <w:sz w:val="24"/>
              </w:rPr>
              <w:t>17</w:t>
            </w:r>
            <w:r>
              <w:rPr>
                <w:color w:val="000000"/>
                <w:sz w:val="24"/>
              </w:rPr>
              <w:t>宜昌城投债</w:t>
            </w:r>
          </w:p>
        </w:tc>
        <w:tc>
          <w:tcPr>
            <w:tcW w:w="1559" w:type="dxa"/>
            <w:vAlign w:val="center"/>
          </w:tcPr>
          <w:p w:rsidR="00CB00BB" w:rsidRDefault="009F7066">
            <w:pPr>
              <w:jc w:val="right"/>
            </w:pPr>
            <w:r>
              <w:rPr>
                <w:color w:val="000000"/>
                <w:sz w:val="24"/>
              </w:rPr>
              <w:t>1,700,000</w:t>
            </w:r>
          </w:p>
        </w:tc>
        <w:tc>
          <w:tcPr>
            <w:tcW w:w="2126" w:type="dxa"/>
            <w:vAlign w:val="center"/>
          </w:tcPr>
          <w:p w:rsidR="00CB00BB" w:rsidRDefault="009F7066">
            <w:pPr>
              <w:jc w:val="right"/>
            </w:pPr>
            <w:r>
              <w:rPr>
                <w:color w:val="000000"/>
                <w:sz w:val="24"/>
              </w:rPr>
              <w:t>178,687,000.00</w:t>
            </w:r>
          </w:p>
        </w:tc>
        <w:tc>
          <w:tcPr>
            <w:tcW w:w="990" w:type="dxa"/>
            <w:vAlign w:val="center"/>
          </w:tcPr>
          <w:p w:rsidR="00CB00BB" w:rsidRDefault="009F7066">
            <w:pPr>
              <w:jc w:val="right"/>
            </w:pPr>
            <w:r>
              <w:rPr>
                <w:color w:val="000000"/>
                <w:sz w:val="24"/>
              </w:rPr>
              <w:t>1.77</w:t>
            </w:r>
          </w:p>
        </w:tc>
      </w:tr>
      <w:tr w:rsidR="00CB00BB">
        <w:tc>
          <w:tcPr>
            <w:tcW w:w="802" w:type="dxa"/>
            <w:vAlign w:val="center"/>
          </w:tcPr>
          <w:p w:rsidR="00CB00BB" w:rsidRDefault="009F7066">
            <w:pPr>
              <w:jc w:val="center"/>
            </w:pPr>
            <w:r>
              <w:rPr>
                <w:color w:val="000000"/>
                <w:sz w:val="24"/>
              </w:rPr>
              <w:t>4</w:t>
            </w:r>
          </w:p>
        </w:tc>
        <w:tc>
          <w:tcPr>
            <w:tcW w:w="1559" w:type="dxa"/>
            <w:vAlign w:val="center"/>
          </w:tcPr>
          <w:p w:rsidR="00CB00BB" w:rsidRDefault="009F7066">
            <w:pPr>
              <w:jc w:val="center"/>
            </w:pPr>
            <w:r>
              <w:rPr>
                <w:color w:val="000000"/>
                <w:sz w:val="24"/>
              </w:rPr>
              <w:t>170209</w:t>
            </w:r>
          </w:p>
        </w:tc>
        <w:tc>
          <w:tcPr>
            <w:tcW w:w="1985" w:type="dxa"/>
            <w:vAlign w:val="center"/>
          </w:tcPr>
          <w:p w:rsidR="00CB00BB" w:rsidRDefault="009F7066">
            <w:pPr>
              <w:jc w:val="center"/>
            </w:pPr>
            <w:r>
              <w:rPr>
                <w:color w:val="000000"/>
                <w:sz w:val="24"/>
              </w:rPr>
              <w:t>17</w:t>
            </w:r>
            <w:r>
              <w:rPr>
                <w:color w:val="000000"/>
                <w:sz w:val="24"/>
              </w:rPr>
              <w:t>国开</w:t>
            </w:r>
            <w:r>
              <w:rPr>
                <w:color w:val="000000"/>
                <w:sz w:val="24"/>
              </w:rPr>
              <w:t>09</w:t>
            </w:r>
          </w:p>
        </w:tc>
        <w:tc>
          <w:tcPr>
            <w:tcW w:w="1559" w:type="dxa"/>
            <w:vAlign w:val="center"/>
          </w:tcPr>
          <w:p w:rsidR="00CB00BB" w:rsidRDefault="009F7066">
            <w:pPr>
              <w:jc w:val="right"/>
            </w:pPr>
            <w:r>
              <w:rPr>
                <w:color w:val="000000"/>
                <w:sz w:val="24"/>
              </w:rPr>
              <w:t>1,700,000</w:t>
            </w:r>
          </w:p>
        </w:tc>
        <w:tc>
          <w:tcPr>
            <w:tcW w:w="2126" w:type="dxa"/>
            <w:vAlign w:val="center"/>
          </w:tcPr>
          <w:p w:rsidR="00CB00BB" w:rsidRDefault="009F7066">
            <w:pPr>
              <w:jc w:val="right"/>
            </w:pPr>
            <w:r>
              <w:rPr>
                <w:color w:val="000000"/>
                <w:sz w:val="24"/>
              </w:rPr>
              <w:t>172,091,000.00</w:t>
            </w:r>
          </w:p>
        </w:tc>
        <w:tc>
          <w:tcPr>
            <w:tcW w:w="990" w:type="dxa"/>
            <w:vAlign w:val="center"/>
          </w:tcPr>
          <w:p w:rsidR="00CB00BB" w:rsidRDefault="009F7066">
            <w:pPr>
              <w:jc w:val="right"/>
            </w:pPr>
            <w:r>
              <w:rPr>
                <w:color w:val="000000"/>
                <w:sz w:val="24"/>
              </w:rPr>
              <w:t>1.70</w:t>
            </w:r>
          </w:p>
        </w:tc>
      </w:tr>
      <w:tr w:rsidR="00CB00BB">
        <w:tc>
          <w:tcPr>
            <w:tcW w:w="802" w:type="dxa"/>
            <w:vAlign w:val="center"/>
          </w:tcPr>
          <w:p w:rsidR="00CB00BB" w:rsidRDefault="009F7066">
            <w:pPr>
              <w:jc w:val="center"/>
            </w:pPr>
            <w:r>
              <w:rPr>
                <w:color w:val="000000"/>
                <w:sz w:val="24"/>
              </w:rPr>
              <w:t>5</w:t>
            </w:r>
          </w:p>
        </w:tc>
        <w:tc>
          <w:tcPr>
            <w:tcW w:w="1559" w:type="dxa"/>
            <w:vAlign w:val="center"/>
          </w:tcPr>
          <w:p w:rsidR="00CB00BB" w:rsidRDefault="009F7066">
            <w:pPr>
              <w:jc w:val="center"/>
            </w:pPr>
            <w:r>
              <w:rPr>
                <w:color w:val="000000"/>
                <w:sz w:val="24"/>
              </w:rPr>
              <w:t>101901238</w:t>
            </w:r>
          </w:p>
        </w:tc>
        <w:tc>
          <w:tcPr>
            <w:tcW w:w="1985" w:type="dxa"/>
            <w:vAlign w:val="center"/>
          </w:tcPr>
          <w:p w:rsidR="00CB00BB" w:rsidRDefault="009F7066">
            <w:pPr>
              <w:jc w:val="center"/>
            </w:pPr>
            <w:r>
              <w:rPr>
                <w:color w:val="000000"/>
                <w:sz w:val="24"/>
              </w:rPr>
              <w:t>19</w:t>
            </w:r>
            <w:r>
              <w:rPr>
                <w:color w:val="000000"/>
                <w:sz w:val="24"/>
              </w:rPr>
              <w:t>大唐集</w:t>
            </w:r>
            <w:r>
              <w:rPr>
                <w:color w:val="000000"/>
                <w:sz w:val="24"/>
              </w:rPr>
              <w:t>MTN002</w:t>
            </w:r>
          </w:p>
        </w:tc>
        <w:tc>
          <w:tcPr>
            <w:tcW w:w="1559" w:type="dxa"/>
            <w:vAlign w:val="center"/>
          </w:tcPr>
          <w:p w:rsidR="00CB00BB" w:rsidRDefault="009F7066">
            <w:pPr>
              <w:jc w:val="right"/>
            </w:pPr>
            <w:r>
              <w:rPr>
                <w:color w:val="000000"/>
                <w:sz w:val="24"/>
              </w:rPr>
              <w:t>1,700,000</w:t>
            </w:r>
          </w:p>
        </w:tc>
        <w:tc>
          <w:tcPr>
            <w:tcW w:w="2126" w:type="dxa"/>
            <w:vAlign w:val="center"/>
          </w:tcPr>
          <w:p w:rsidR="00CB00BB" w:rsidRDefault="009F7066">
            <w:pPr>
              <w:jc w:val="right"/>
            </w:pPr>
            <w:r>
              <w:rPr>
                <w:color w:val="000000"/>
                <w:sz w:val="24"/>
              </w:rPr>
              <w:t>170,238,000.00</w:t>
            </w:r>
          </w:p>
        </w:tc>
        <w:tc>
          <w:tcPr>
            <w:tcW w:w="990" w:type="dxa"/>
            <w:vAlign w:val="center"/>
          </w:tcPr>
          <w:p w:rsidR="00CB00BB" w:rsidRDefault="009F7066">
            <w:pPr>
              <w:jc w:val="right"/>
            </w:pPr>
            <w:r>
              <w:rPr>
                <w:color w:val="000000"/>
                <w:sz w:val="24"/>
              </w:rPr>
              <w:t>1.68</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本基金本报告期末未持有资产支持证券。</w:t>
      </w:r>
    </w:p>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lastRenderedPageBreak/>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5.11.117</w:t>
      </w:r>
      <w:r w:rsidRPr="00414367">
        <w:rPr>
          <w:color w:val="000000"/>
          <w:sz w:val="24"/>
        </w:rPr>
        <w:t>宜昌城投债（代码：</w:t>
      </w:r>
      <w:r w:rsidRPr="00414367">
        <w:rPr>
          <w:color w:val="000000"/>
          <w:sz w:val="24"/>
        </w:rPr>
        <w:t>1780226</w:t>
      </w:r>
      <w:r w:rsidRPr="00414367">
        <w:rPr>
          <w:color w:val="000000"/>
          <w:sz w:val="24"/>
        </w:rPr>
        <w:t>）是易方达高等级信用债纯债基金的前十大持仓证券。</w:t>
      </w:r>
      <w:r w:rsidRPr="00414367">
        <w:rPr>
          <w:color w:val="000000"/>
          <w:sz w:val="24"/>
        </w:rPr>
        <w:t>2019</w:t>
      </w:r>
      <w:r w:rsidRPr="00414367">
        <w:rPr>
          <w:color w:val="000000"/>
          <w:sz w:val="24"/>
        </w:rPr>
        <w:t>年</w:t>
      </w:r>
      <w:r w:rsidRPr="00414367">
        <w:rPr>
          <w:color w:val="000000"/>
          <w:sz w:val="24"/>
        </w:rPr>
        <w:t>1</w:t>
      </w:r>
      <w:r w:rsidRPr="00414367">
        <w:rPr>
          <w:color w:val="000000"/>
          <w:sz w:val="24"/>
        </w:rPr>
        <w:t>月</w:t>
      </w:r>
      <w:r w:rsidRPr="00414367">
        <w:rPr>
          <w:color w:val="000000"/>
          <w:sz w:val="24"/>
        </w:rPr>
        <w:t>29</w:t>
      </w:r>
      <w:r w:rsidRPr="00414367">
        <w:rPr>
          <w:color w:val="000000"/>
          <w:sz w:val="24"/>
        </w:rPr>
        <w:t>日，湖北省宜昌市住房城乡建设委员会对宜昌市城市建设投资开发有限公司未履行安全生产职责的行为作出</w:t>
      </w:r>
      <w:r w:rsidRPr="00414367">
        <w:rPr>
          <w:color w:val="000000"/>
          <w:sz w:val="24"/>
        </w:rPr>
        <w:t>“</w:t>
      </w:r>
      <w:r w:rsidRPr="00414367">
        <w:rPr>
          <w:color w:val="000000"/>
          <w:sz w:val="24"/>
        </w:rPr>
        <w:t>责令立即改正，并处罚款</w:t>
      </w:r>
      <w:r w:rsidRPr="00414367">
        <w:rPr>
          <w:color w:val="000000"/>
          <w:sz w:val="24"/>
        </w:rPr>
        <w:t>2</w:t>
      </w:r>
      <w:r w:rsidRPr="00414367">
        <w:rPr>
          <w:color w:val="000000"/>
          <w:sz w:val="24"/>
        </w:rPr>
        <w:t>万元</w:t>
      </w:r>
      <w:r w:rsidRPr="00414367">
        <w:rPr>
          <w:color w:val="000000"/>
          <w:sz w:val="24"/>
        </w:rPr>
        <w:t>”</w:t>
      </w:r>
      <w:r w:rsidRPr="00414367">
        <w:rPr>
          <w:color w:val="000000"/>
          <w:sz w:val="24"/>
        </w:rPr>
        <w:t>的行政处罚决定。</w:t>
      </w:r>
    </w:p>
    <w:p w:rsidR="00CB00BB" w:rsidRDefault="009F7066">
      <w:pPr>
        <w:widowControl/>
        <w:spacing w:line="360" w:lineRule="auto"/>
        <w:rPr>
          <w:color w:val="000000"/>
          <w:sz w:val="24"/>
        </w:rPr>
      </w:pPr>
      <w:r>
        <w:rPr>
          <w:color w:val="000000"/>
          <w:sz w:val="24"/>
        </w:rPr>
        <w:t>本基金投资</w:t>
      </w:r>
      <w:r>
        <w:rPr>
          <w:color w:val="000000"/>
          <w:sz w:val="24"/>
        </w:rPr>
        <w:t>17</w:t>
      </w:r>
      <w:r>
        <w:rPr>
          <w:color w:val="000000"/>
          <w:sz w:val="24"/>
        </w:rPr>
        <w:t>宜昌城投债的投资决策程序符合公司投资制度的规定。</w:t>
      </w:r>
    </w:p>
    <w:p w:rsidR="00CB00BB" w:rsidRDefault="009F7066">
      <w:pPr>
        <w:widowControl/>
        <w:spacing w:line="360" w:lineRule="auto"/>
        <w:rPr>
          <w:color w:val="000000"/>
          <w:sz w:val="24"/>
        </w:rPr>
      </w:pPr>
      <w:r>
        <w:rPr>
          <w:color w:val="000000"/>
          <w:sz w:val="24"/>
        </w:rPr>
        <w:t>除</w:t>
      </w:r>
      <w:r>
        <w:rPr>
          <w:color w:val="000000"/>
          <w:sz w:val="24"/>
        </w:rPr>
        <w:t>17</w:t>
      </w:r>
      <w:r>
        <w:rPr>
          <w:color w:val="000000"/>
          <w:sz w:val="24"/>
        </w:rPr>
        <w:t>宜昌城投债外，本基金投资的前十名证券的发行主体本期没有出现被监管部门立案调查，或在</w:t>
      </w:r>
      <w:r>
        <w:rPr>
          <w:color w:val="000000"/>
          <w:sz w:val="24"/>
        </w:rPr>
        <w:t>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本基金本报告期没有投资股票，因此不存在投资的前十名股票超出基金合同规定的备选股票库情况。</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91,383.85</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4,002,139.17</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186,324,945.75</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7,991,421.83</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198,409,890.60</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本基金本报告期末未持有处于转股期的可转换债券。</w:t>
      </w:r>
    </w:p>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易方达高等级信用债债券</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易方达高等级信用债债券</w:t>
            </w:r>
            <w:r w:rsidRPr="00FA472B">
              <w:rPr>
                <w:sz w:val="24"/>
              </w:rPr>
              <w:t>C</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4,025,934,011.57</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1,278,156,544.44</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3,470,095,240.49</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827,260,591.35</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359,392,127.88</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433,999,451.55</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7,136,637,124.18</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1,671,417,684.24</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8.1</w:t>
      </w:r>
      <w:r w:rsidRPr="00E8153C">
        <w:rPr>
          <w:color w:val="000000"/>
          <w:kern w:val="0"/>
          <w:sz w:val="24"/>
        </w:rPr>
        <w:t>备查文件目录</w:t>
      </w:r>
    </w:p>
    <w:p w:rsidR="00CB00BB" w:rsidRDefault="009F7066">
      <w:pPr>
        <w:spacing w:line="360" w:lineRule="auto"/>
        <w:ind w:firstLineChars="200" w:firstLine="480"/>
        <w:rPr>
          <w:color w:val="000000"/>
          <w:sz w:val="24"/>
        </w:rPr>
      </w:pPr>
      <w:r>
        <w:rPr>
          <w:color w:val="000000"/>
          <w:sz w:val="24"/>
        </w:rPr>
        <w:t>1.</w:t>
      </w:r>
      <w:r>
        <w:rPr>
          <w:color w:val="000000"/>
          <w:sz w:val="24"/>
        </w:rPr>
        <w:t>中国证监会核准易方达高等级信用债债券型证券投资基金募集的文件；</w:t>
      </w:r>
    </w:p>
    <w:p w:rsidR="00CB00BB" w:rsidRDefault="009F7066">
      <w:pPr>
        <w:spacing w:line="360" w:lineRule="auto"/>
        <w:ind w:firstLineChars="200" w:firstLine="480"/>
        <w:rPr>
          <w:color w:val="000000"/>
          <w:sz w:val="24"/>
        </w:rPr>
      </w:pPr>
      <w:r>
        <w:rPr>
          <w:color w:val="000000"/>
          <w:sz w:val="24"/>
        </w:rPr>
        <w:t>2.</w:t>
      </w:r>
      <w:r>
        <w:rPr>
          <w:color w:val="000000"/>
          <w:sz w:val="24"/>
        </w:rPr>
        <w:t>《易方达高等级信用债债券型证券投资基金基金合同》；</w:t>
      </w:r>
    </w:p>
    <w:p w:rsidR="00CB00BB" w:rsidRDefault="009F7066">
      <w:pPr>
        <w:spacing w:line="360" w:lineRule="auto"/>
        <w:ind w:firstLineChars="200" w:firstLine="480"/>
        <w:rPr>
          <w:color w:val="000000"/>
          <w:sz w:val="24"/>
        </w:rPr>
      </w:pPr>
      <w:r>
        <w:rPr>
          <w:color w:val="000000"/>
          <w:sz w:val="24"/>
        </w:rPr>
        <w:t>3.</w:t>
      </w:r>
      <w:r>
        <w:rPr>
          <w:color w:val="000000"/>
          <w:sz w:val="24"/>
        </w:rPr>
        <w:t>《易方达高等级信用债债券型证券投资基金托管协议》；</w:t>
      </w:r>
    </w:p>
    <w:p w:rsidR="00CB00BB" w:rsidRDefault="009F7066">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9F7066">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9F7066">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9F7066">
      <w:rPr>
        <w:rStyle w:val="a7"/>
        <w:noProof/>
      </w:rPr>
      <w:t>13</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易方达高等级信用债债券型证券投资基金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9F7066"/>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00BB"/>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9CDB576D-6718-41FE-8F63-4372FFB5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1032</Words>
  <Characters>5887</Characters>
  <Application>Microsoft Office Word</Application>
  <DocSecurity>0</DocSecurity>
  <Lines>49</Lines>
  <Paragraphs>13</Paragraphs>
  <ScaleCrop>false</ScaleCrop>
  <Company>TRT. Ltd. Co.</Company>
  <LinksUpToDate>false</LinksUpToDate>
  <CharactersWithSpaces>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2019-10-16T13:54:00Z</cp:lastPrinted>
  <dcterms:created xsi:type="dcterms:W3CDTF">2013-06-21T06:56:00Z</dcterms:created>
  <dcterms:modified xsi:type="dcterms:W3CDTF">2019-10-16T13:54:00Z</dcterms:modified>
</cp:coreProperties>
</file>