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易方达信用债债券型证券投资基金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中国工商银行股份有限公司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091AB5" w:rsidRDefault="0062689C">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091AB5" w:rsidRDefault="0062689C">
      <w:pPr>
        <w:spacing w:line="360" w:lineRule="auto"/>
        <w:ind w:firstLineChars="200" w:firstLine="480"/>
        <w:rPr>
          <w:color w:val="000000"/>
          <w:sz w:val="24"/>
        </w:rPr>
      </w:pPr>
      <w:r>
        <w:rPr>
          <w:color w:val="000000"/>
          <w:sz w:val="24"/>
        </w:rPr>
        <w:t>基金托管人中国工商银行股份有限公司根据本基金合同规定，于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091AB5" w:rsidRDefault="0062689C">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091AB5" w:rsidRDefault="0062689C">
      <w:pPr>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091AB5" w:rsidRDefault="0062689C">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易方达信用债债券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000032</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2013</w:t>
            </w:r>
            <w:r w:rsidRPr="00C30CFF">
              <w:rPr>
                <w:color w:val="000000"/>
                <w:kern w:val="0"/>
                <w:sz w:val="24"/>
              </w:rPr>
              <w:t>年</w:t>
            </w:r>
            <w:r w:rsidRPr="00C30CFF">
              <w:rPr>
                <w:color w:val="000000"/>
                <w:kern w:val="0"/>
                <w:sz w:val="24"/>
              </w:rPr>
              <w:t>4</w:t>
            </w:r>
            <w:r w:rsidRPr="00C30CFF">
              <w:rPr>
                <w:color w:val="000000"/>
                <w:kern w:val="0"/>
                <w:sz w:val="24"/>
              </w:rPr>
              <w:t>月</w:t>
            </w:r>
            <w:r w:rsidRPr="00C30CFF">
              <w:rPr>
                <w:color w:val="000000"/>
                <w:kern w:val="0"/>
                <w:sz w:val="24"/>
              </w:rPr>
              <w:t>24</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3,544,178,371.38</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本基金主要投资于信用债券，力争获得高于业绩比较基准的投资收益。</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采取积极管理的投资策略，在分析和判断宏观经济运行状况和金融市场运行趋势的基础上，确定和动态调整信用债券、非信用债券和银行存款等资产类别的配置比例；自上而下地决定债券组合久期及类属配置；同时在严谨深入的信用分析的基础上，自下而上地精选个券，力争获得超越业绩比较</w:t>
            </w:r>
            <w:r w:rsidRPr="00C30CFF">
              <w:rPr>
                <w:color w:val="000000"/>
                <w:kern w:val="0"/>
                <w:sz w:val="24"/>
              </w:rPr>
              <w:lastRenderedPageBreak/>
              <w:t>基准的投资回报。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w:t>
            </w:r>
            <w:r w:rsidRPr="00C30CFF">
              <w:rPr>
                <w:color w:val="000000"/>
                <w:kern w:val="0"/>
                <w:sz w:val="24"/>
              </w:rPr>
              <w:t>-</w:t>
            </w:r>
            <w:r w:rsidRPr="00C30CFF">
              <w:rPr>
                <w:color w:val="000000"/>
                <w:kern w:val="0"/>
                <w:sz w:val="24"/>
              </w:rPr>
              <w:t>信用债总指数</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本基金为债券型基金，其长期平均风险和预期收益率理论上低于股票型基金、混合型基金，高于货币市场基金。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中国工商银行股份有限公司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易方达信用债债券</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易方达信用债债券</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000032</w:t>
            </w:r>
          </w:p>
        </w:tc>
        <w:tc>
          <w:tcPr>
            <w:tcW w:w="2790" w:type="dxa"/>
            <w:vAlign w:val="center"/>
          </w:tcPr>
          <w:p w:rsidR="00F016DD" w:rsidRPr="00C30CFF" w:rsidRDefault="00F016DD" w:rsidP="00950413">
            <w:pPr>
              <w:jc w:val="left"/>
              <w:rPr>
                <w:color w:val="000000"/>
                <w:sz w:val="24"/>
              </w:rPr>
            </w:pPr>
            <w:r w:rsidRPr="00C30CFF">
              <w:rPr>
                <w:color w:val="000000"/>
                <w:sz w:val="24"/>
              </w:rPr>
              <w:t>000033</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2,829,712,096.52</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714,466,274.86</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易方达信用债债券</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易方达信用债债券</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34,591,343.54</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7,703,231.05</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40,794,394.07</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8,717,536.66</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0.0161</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0.0142</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3,194,364,367.13</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796,485,445.88</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1.129</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1.115</w:t>
            </w:r>
          </w:p>
        </w:tc>
      </w:tr>
    </w:tbl>
    <w:p w:rsidR="00091AB5" w:rsidRDefault="0062689C">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w:t>
      </w:r>
      <w:r w:rsidRPr="00C30CFF">
        <w:rPr>
          <w:color w:val="000000"/>
          <w:sz w:val="24"/>
        </w:rPr>
        <w:lastRenderedPageBreak/>
        <w:t>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易方达信用债债券A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091AB5">
        <w:tc>
          <w:tcPr>
            <w:tcW w:w="1290" w:type="dxa"/>
            <w:vAlign w:val="center"/>
          </w:tcPr>
          <w:p w:rsidR="00091AB5" w:rsidRDefault="0062689C">
            <w:pPr>
              <w:jc w:val="left"/>
            </w:pPr>
            <w:r>
              <w:rPr>
                <w:color w:val="000000"/>
                <w:sz w:val="24"/>
              </w:rPr>
              <w:t>过去三个月</w:t>
            </w:r>
          </w:p>
        </w:tc>
        <w:tc>
          <w:tcPr>
            <w:tcW w:w="1291" w:type="dxa"/>
            <w:vAlign w:val="center"/>
          </w:tcPr>
          <w:p w:rsidR="00091AB5" w:rsidRDefault="0062689C">
            <w:pPr>
              <w:jc w:val="center"/>
            </w:pPr>
            <w:r>
              <w:rPr>
                <w:color w:val="000000"/>
                <w:sz w:val="24"/>
              </w:rPr>
              <w:t>1.49%</w:t>
            </w:r>
          </w:p>
        </w:tc>
        <w:tc>
          <w:tcPr>
            <w:tcW w:w="1291" w:type="dxa"/>
            <w:vAlign w:val="center"/>
          </w:tcPr>
          <w:p w:rsidR="00091AB5" w:rsidRDefault="0062689C">
            <w:pPr>
              <w:jc w:val="center"/>
            </w:pPr>
            <w:r>
              <w:rPr>
                <w:color w:val="000000"/>
                <w:sz w:val="24"/>
              </w:rPr>
              <w:t>0.04%</w:t>
            </w:r>
          </w:p>
        </w:tc>
        <w:tc>
          <w:tcPr>
            <w:tcW w:w="1291" w:type="dxa"/>
            <w:vAlign w:val="center"/>
          </w:tcPr>
          <w:p w:rsidR="00091AB5" w:rsidRDefault="0062689C">
            <w:pPr>
              <w:jc w:val="center"/>
            </w:pPr>
            <w:r>
              <w:rPr>
                <w:color w:val="000000"/>
                <w:sz w:val="24"/>
              </w:rPr>
              <w:t>0.41%</w:t>
            </w:r>
          </w:p>
        </w:tc>
        <w:tc>
          <w:tcPr>
            <w:tcW w:w="1291" w:type="dxa"/>
            <w:vAlign w:val="center"/>
          </w:tcPr>
          <w:p w:rsidR="00091AB5" w:rsidRDefault="0062689C">
            <w:pPr>
              <w:jc w:val="center"/>
            </w:pPr>
            <w:r>
              <w:rPr>
                <w:color w:val="000000"/>
                <w:sz w:val="24"/>
              </w:rPr>
              <w:t>0.02%</w:t>
            </w:r>
          </w:p>
        </w:tc>
        <w:tc>
          <w:tcPr>
            <w:tcW w:w="1291" w:type="dxa"/>
            <w:vAlign w:val="center"/>
          </w:tcPr>
          <w:p w:rsidR="00091AB5" w:rsidRDefault="0062689C">
            <w:pPr>
              <w:jc w:val="center"/>
            </w:pPr>
            <w:r>
              <w:rPr>
                <w:color w:val="000000"/>
                <w:sz w:val="24"/>
              </w:rPr>
              <w:t>1.08%</w:t>
            </w:r>
          </w:p>
        </w:tc>
        <w:tc>
          <w:tcPr>
            <w:tcW w:w="1291" w:type="dxa"/>
            <w:vAlign w:val="center"/>
          </w:tcPr>
          <w:p w:rsidR="00091AB5" w:rsidRDefault="0062689C">
            <w:pPr>
              <w:jc w:val="center"/>
            </w:pPr>
            <w:r>
              <w:rPr>
                <w:color w:val="000000"/>
                <w:sz w:val="24"/>
              </w:rPr>
              <w:t>0.02%</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易方达信用债债券C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091AB5">
        <w:tc>
          <w:tcPr>
            <w:tcW w:w="1290" w:type="dxa"/>
            <w:vAlign w:val="center"/>
          </w:tcPr>
          <w:p w:rsidR="00091AB5" w:rsidRDefault="0062689C">
            <w:pPr>
              <w:jc w:val="left"/>
            </w:pPr>
            <w:r>
              <w:rPr>
                <w:color w:val="000000"/>
                <w:sz w:val="24"/>
              </w:rPr>
              <w:t>过去三个月</w:t>
            </w:r>
          </w:p>
        </w:tc>
        <w:tc>
          <w:tcPr>
            <w:tcW w:w="1291" w:type="dxa"/>
            <w:vAlign w:val="center"/>
          </w:tcPr>
          <w:p w:rsidR="00091AB5" w:rsidRDefault="0062689C">
            <w:pPr>
              <w:jc w:val="center"/>
            </w:pPr>
            <w:r>
              <w:rPr>
                <w:color w:val="000000"/>
                <w:sz w:val="24"/>
              </w:rPr>
              <w:t>1.42%</w:t>
            </w:r>
          </w:p>
        </w:tc>
        <w:tc>
          <w:tcPr>
            <w:tcW w:w="1291" w:type="dxa"/>
            <w:vAlign w:val="center"/>
          </w:tcPr>
          <w:p w:rsidR="00091AB5" w:rsidRDefault="0062689C">
            <w:pPr>
              <w:jc w:val="center"/>
            </w:pPr>
            <w:r>
              <w:rPr>
                <w:color w:val="000000"/>
                <w:sz w:val="24"/>
              </w:rPr>
              <w:t>0.05%</w:t>
            </w:r>
          </w:p>
        </w:tc>
        <w:tc>
          <w:tcPr>
            <w:tcW w:w="1291" w:type="dxa"/>
            <w:vAlign w:val="center"/>
          </w:tcPr>
          <w:p w:rsidR="00091AB5" w:rsidRDefault="0062689C">
            <w:pPr>
              <w:jc w:val="center"/>
            </w:pPr>
            <w:r>
              <w:rPr>
                <w:color w:val="000000"/>
                <w:sz w:val="24"/>
              </w:rPr>
              <w:t>0.41%</w:t>
            </w:r>
          </w:p>
        </w:tc>
        <w:tc>
          <w:tcPr>
            <w:tcW w:w="1291" w:type="dxa"/>
            <w:vAlign w:val="center"/>
          </w:tcPr>
          <w:p w:rsidR="00091AB5" w:rsidRDefault="0062689C">
            <w:pPr>
              <w:jc w:val="center"/>
            </w:pPr>
            <w:r>
              <w:rPr>
                <w:color w:val="000000"/>
                <w:sz w:val="24"/>
              </w:rPr>
              <w:t>0.02%</w:t>
            </w:r>
          </w:p>
        </w:tc>
        <w:tc>
          <w:tcPr>
            <w:tcW w:w="1291" w:type="dxa"/>
            <w:vAlign w:val="center"/>
          </w:tcPr>
          <w:p w:rsidR="00091AB5" w:rsidRDefault="0062689C">
            <w:pPr>
              <w:jc w:val="center"/>
            </w:pPr>
            <w:r>
              <w:rPr>
                <w:color w:val="000000"/>
                <w:sz w:val="24"/>
              </w:rPr>
              <w:t>1.01%</w:t>
            </w:r>
          </w:p>
        </w:tc>
        <w:tc>
          <w:tcPr>
            <w:tcW w:w="1291" w:type="dxa"/>
            <w:vAlign w:val="center"/>
          </w:tcPr>
          <w:p w:rsidR="00091AB5" w:rsidRDefault="0062689C">
            <w:pPr>
              <w:jc w:val="center"/>
            </w:pPr>
            <w:r>
              <w:rPr>
                <w:color w:val="000000"/>
                <w:sz w:val="24"/>
              </w:rPr>
              <w:t>0.03%</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易方达信用债债券型证券投资基金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(2013</w:t>
      </w:r>
      <w:r w:rsidRPr="00FA472B">
        <w:rPr>
          <w:rFonts w:ascii="Times New Roman" w:hAnsi="Times New Roman"/>
          <w:sz w:val="24"/>
          <w:szCs w:val="24"/>
        </w:rPr>
        <w:t>年</w:t>
      </w:r>
      <w:r w:rsidRPr="00FA472B">
        <w:rPr>
          <w:rFonts w:ascii="Times New Roman" w:hAnsi="Times New Roman"/>
          <w:sz w:val="24"/>
          <w:szCs w:val="24"/>
        </w:rPr>
        <w:t>4</w:t>
      </w:r>
      <w:r w:rsidRPr="00FA472B">
        <w:rPr>
          <w:rFonts w:ascii="Times New Roman" w:hAnsi="Times New Roman"/>
          <w:sz w:val="24"/>
          <w:szCs w:val="24"/>
        </w:rPr>
        <w:t>月</w:t>
      </w:r>
      <w:r w:rsidRPr="00FA472B">
        <w:rPr>
          <w:rFonts w:ascii="Times New Roman" w:hAnsi="Times New Roman"/>
          <w:sz w:val="24"/>
          <w:szCs w:val="24"/>
        </w:rPr>
        <w:t>24</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易方达信用债债券</w:t>
      </w:r>
      <w:r w:rsidRPr="00611CB2">
        <w:rPr>
          <w:color w:val="000000"/>
          <w:sz w:val="24"/>
        </w:rPr>
        <w:t>A</w:t>
      </w:r>
    </w:p>
    <w:p w:rsidR="00F016DD" w:rsidRPr="0078105B" w:rsidRDefault="0062689C"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易方达信用债债券</w:t>
      </w:r>
      <w:r w:rsidRPr="00611CB2">
        <w:rPr>
          <w:color w:val="000000"/>
          <w:sz w:val="24"/>
        </w:rPr>
        <w:t>C</w:t>
      </w:r>
    </w:p>
    <w:p w:rsidR="00F016DD" w:rsidRPr="0078105B" w:rsidRDefault="0062689C"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A</w:t>
      </w:r>
      <w:r w:rsidRPr="00DF18FE">
        <w:rPr>
          <w:color w:val="000000"/>
          <w:sz w:val="24"/>
        </w:rPr>
        <w:t>类基金份额净值增长率为</w:t>
      </w:r>
      <w:r w:rsidRPr="00DF18FE">
        <w:rPr>
          <w:color w:val="000000"/>
          <w:sz w:val="24"/>
        </w:rPr>
        <w:t>38.74%</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35.46%</w:t>
      </w:r>
      <w:r w:rsidRPr="00DF18FE">
        <w:rPr>
          <w:color w:val="000000"/>
          <w:sz w:val="24"/>
        </w:rPr>
        <w:t>，同期业绩比较基准收益率为</w:t>
      </w:r>
      <w:r w:rsidRPr="00DF18FE">
        <w:rPr>
          <w:color w:val="000000"/>
          <w:sz w:val="24"/>
        </w:rPr>
        <w:t>6.00%</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lastRenderedPageBreak/>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091AB5">
        <w:tc>
          <w:tcPr>
            <w:tcW w:w="567" w:type="dxa"/>
            <w:vAlign w:val="center"/>
          </w:tcPr>
          <w:p w:rsidR="00091AB5" w:rsidRDefault="0062689C">
            <w:pPr>
              <w:jc w:val="center"/>
            </w:pPr>
            <w:r>
              <w:rPr>
                <w:color w:val="000000"/>
                <w:sz w:val="24"/>
              </w:rPr>
              <w:t>胡剑</w:t>
            </w:r>
          </w:p>
        </w:tc>
        <w:tc>
          <w:tcPr>
            <w:tcW w:w="2835" w:type="dxa"/>
            <w:vAlign w:val="center"/>
          </w:tcPr>
          <w:p w:rsidR="00091AB5" w:rsidRDefault="0062689C">
            <w:pPr>
              <w:jc w:val="center"/>
            </w:pPr>
            <w:r>
              <w:rPr>
                <w:color w:val="000000"/>
                <w:sz w:val="24"/>
              </w:rPr>
              <w:t>本基金的基金经理、易方达裕惠回报定期开放式混合型发起式证券投资基金的基金经理、易方达稳健收益债券型证券投资基金的基金经理、易方达岁丰添利债券型证券投资基金的基金经理、易方达瑞祺灵活配置混合型证券投资基金的基金经理、易方达瑞智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日）、易方达瑞兴灵活配置混合型证券投资基金的基金经理（自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日）、易方达瑞祥灵活配置混合型证券投资基金的基金经理（自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19</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w:t>
            </w:r>
            <w:r>
              <w:rPr>
                <w:color w:val="000000"/>
                <w:sz w:val="24"/>
              </w:rPr>
              <w:t>、易方达瑞富灵活配置混合型证券投资基金的基金经理、易方达瑞财灵活配置混合型证券投资基金的基金经理、易方达恒益定期开放债券型发起式证券投资基金的基金经理、易方达恒盛</w:t>
            </w:r>
            <w:r>
              <w:rPr>
                <w:color w:val="000000"/>
                <w:sz w:val="24"/>
              </w:rPr>
              <w:t>3</w:t>
            </w:r>
            <w:r>
              <w:rPr>
                <w:color w:val="000000"/>
                <w:sz w:val="24"/>
              </w:rPr>
              <w:t>个月定期开放混合型发起式证券投资基金的基金经理、易方达恒利</w:t>
            </w:r>
            <w:r>
              <w:rPr>
                <w:color w:val="000000"/>
                <w:sz w:val="24"/>
              </w:rPr>
              <w:t>3</w:t>
            </w:r>
            <w:r>
              <w:rPr>
                <w:color w:val="000000"/>
                <w:sz w:val="24"/>
              </w:rPr>
              <w:t>个月定期开放债券型发起式证券投资基金的基金经理、易方达高等级信用债债券型证券投资基金的基金经理（自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lastRenderedPageBreak/>
              <w:t>年</w:t>
            </w:r>
            <w:r>
              <w:rPr>
                <w:color w:val="000000"/>
                <w:sz w:val="24"/>
              </w:rPr>
              <w:t>09</w:t>
            </w:r>
            <w:r>
              <w:rPr>
                <w:color w:val="000000"/>
                <w:sz w:val="24"/>
              </w:rPr>
              <w:t>月</w:t>
            </w:r>
            <w:r>
              <w:rPr>
                <w:color w:val="000000"/>
                <w:sz w:val="24"/>
              </w:rPr>
              <w:t>17</w:t>
            </w:r>
            <w:r>
              <w:rPr>
                <w:color w:val="000000"/>
                <w:sz w:val="24"/>
              </w:rPr>
              <w:t>日）、易方达丰惠混合型证券投资基金的基金经理、易方达</w:t>
            </w:r>
            <w:r>
              <w:rPr>
                <w:color w:val="000000"/>
                <w:sz w:val="24"/>
              </w:rPr>
              <w:t>3</w:t>
            </w:r>
            <w:r>
              <w:rPr>
                <w:color w:val="000000"/>
                <w:sz w:val="24"/>
              </w:rPr>
              <w:t>年封闭运作战略配售灵活配置混合型证券投资基金</w:t>
            </w:r>
            <w:r>
              <w:rPr>
                <w:color w:val="000000"/>
                <w:sz w:val="24"/>
              </w:rPr>
              <w:t>(LOF)</w:t>
            </w:r>
            <w:r>
              <w:rPr>
                <w:color w:val="000000"/>
                <w:sz w:val="24"/>
              </w:rPr>
              <w:t>的基金经理、固定收益研究部总经理、固定</w:t>
            </w:r>
            <w:r>
              <w:rPr>
                <w:color w:val="000000"/>
                <w:sz w:val="24"/>
              </w:rPr>
              <w:t>收益投资部总经理</w:t>
            </w:r>
          </w:p>
        </w:tc>
        <w:tc>
          <w:tcPr>
            <w:tcW w:w="851" w:type="dxa"/>
            <w:vAlign w:val="center"/>
          </w:tcPr>
          <w:p w:rsidR="00091AB5" w:rsidRDefault="0062689C">
            <w:pPr>
              <w:jc w:val="center"/>
            </w:pPr>
            <w:r>
              <w:rPr>
                <w:color w:val="000000"/>
                <w:sz w:val="24"/>
              </w:rPr>
              <w:lastRenderedPageBreak/>
              <w:t>2013-04-24</w:t>
            </w:r>
          </w:p>
        </w:tc>
        <w:tc>
          <w:tcPr>
            <w:tcW w:w="850" w:type="dxa"/>
            <w:vAlign w:val="center"/>
          </w:tcPr>
          <w:p w:rsidR="00091AB5" w:rsidRDefault="0062689C">
            <w:pPr>
              <w:jc w:val="center"/>
            </w:pPr>
            <w:r>
              <w:rPr>
                <w:color w:val="000000"/>
                <w:sz w:val="24"/>
              </w:rPr>
              <w:t>-</w:t>
            </w:r>
          </w:p>
        </w:tc>
        <w:tc>
          <w:tcPr>
            <w:tcW w:w="851" w:type="dxa"/>
            <w:vAlign w:val="center"/>
          </w:tcPr>
          <w:p w:rsidR="00091AB5" w:rsidRDefault="0062689C">
            <w:pPr>
              <w:jc w:val="center"/>
            </w:pPr>
            <w:r>
              <w:rPr>
                <w:color w:val="000000"/>
                <w:sz w:val="24"/>
              </w:rPr>
              <w:t>13</w:t>
            </w:r>
            <w:r>
              <w:rPr>
                <w:color w:val="000000"/>
                <w:sz w:val="24"/>
              </w:rPr>
              <w:t>年</w:t>
            </w:r>
          </w:p>
        </w:tc>
        <w:tc>
          <w:tcPr>
            <w:tcW w:w="2977" w:type="dxa"/>
            <w:vAlign w:val="center"/>
          </w:tcPr>
          <w:p w:rsidR="00091AB5" w:rsidRDefault="0062689C">
            <w:r>
              <w:rPr>
                <w:color w:val="000000"/>
                <w:sz w:val="24"/>
              </w:rPr>
              <w:t>硕士研究生，曾任易方达基金管理有限公司固定收益部债券研究员、基金经理助理兼债券研究员、固定收益研究部负责人、固定收益总部总经理助理、易方达中债新综合债券指数发起式证券投资基金（</w:t>
            </w:r>
            <w:r>
              <w:rPr>
                <w:color w:val="000000"/>
                <w:sz w:val="24"/>
              </w:rPr>
              <w:t>LOF</w:t>
            </w:r>
            <w:r>
              <w:rPr>
                <w:color w:val="000000"/>
                <w:sz w:val="24"/>
              </w:rPr>
              <w:t>）基金经理、易方达纯债</w:t>
            </w:r>
            <w:r>
              <w:rPr>
                <w:color w:val="000000"/>
                <w:sz w:val="24"/>
              </w:rPr>
              <w:t>1</w:t>
            </w:r>
            <w:r>
              <w:rPr>
                <w:color w:val="000000"/>
                <w:sz w:val="24"/>
              </w:rPr>
              <w:t>年定期开放债券型证券投资基金基金经理、易方达永旭添利定期开放债券型证券投资基金基金经理、易方达纯债债券型证券投资基金基金经理、易方达裕景添利</w:t>
            </w:r>
            <w:r>
              <w:rPr>
                <w:color w:val="000000"/>
                <w:sz w:val="24"/>
              </w:rPr>
              <w:t>6</w:t>
            </w:r>
            <w:r>
              <w:rPr>
                <w:color w:val="000000"/>
                <w:sz w:val="24"/>
              </w:rPr>
              <w:t>个月定期开放债券型证券投资基金基金经理。</w:t>
            </w:r>
          </w:p>
        </w:tc>
      </w:tr>
      <w:tr w:rsidR="00091AB5">
        <w:tc>
          <w:tcPr>
            <w:tcW w:w="567" w:type="dxa"/>
            <w:vAlign w:val="center"/>
          </w:tcPr>
          <w:p w:rsidR="00091AB5" w:rsidRDefault="0062689C">
            <w:pPr>
              <w:jc w:val="center"/>
            </w:pPr>
            <w:r>
              <w:rPr>
                <w:color w:val="000000"/>
                <w:sz w:val="24"/>
              </w:rPr>
              <w:t>纪玲云</w:t>
            </w:r>
          </w:p>
        </w:tc>
        <w:tc>
          <w:tcPr>
            <w:tcW w:w="2835" w:type="dxa"/>
            <w:vAlign w:val="center"/>
          </w:tcPr>
          <w:p w:rsidR="00091AB5" w:rsidRDefault="0062689C">
            <w:pPr>
              <w:jc w:val="center"/>
            </w:pPr>
            <w:r>
              <w:rPr>
                <w:color w:val="000000"/>
                <w:sz w:val="24"/>
              </w:rPr>
              <w:t>本基金的基金经理、易方达瑞财灵活配置混合型证券投资基金的基金经理、易方达恒盛</w:t>
            </w:r>
            <w:r>
              <w:rPr>
                <w:color w:val="000000"/>
                <w:sz w:val="24"/>
              </w:rPr>
              <w:t>3</w:t>
            </w:r>
            <w:r>
              <w:rPr>
                <w:color w:val="000000"/>
                <w:sz w:val="24"/>
              </w:rPr>
              <w:t>个月定期开放混合型发起式证券投资基金的基金经理、易方达恒利</w:t>
            </w:r>
            <w:r>
              <w:rPr>
                <w:color w:val="000000"/>
                <w:sz w:val="24"/>
              </w:rPr>
              <w:t>3</w:t>
            </w:r>
            <w:r>
              <w:rPr>
                <w:color w:val="000000"/>
                <w:sz w:val="24"/>
              </w:rPr>
              <w:t>个月定期开放债券型发起式证券投资基金的基金经理、易方达</w:t>
            </w:r>
            <w:r>
              <w:rPr>
                <w:color w:val="000000"/>
                <w:sz w:val="24"/>
              </w:rPr>
              <w:t>3</w:t>
            </w:r>
            <w:r>
              <w:rPr>
                <w:color w:val="000000"/>
                <w:sz w:val="24"/>
              </w:rPr>
              <w:t>年封闭运作战略配售灵活配置混合型证券投资基金</w:t>
            </w:r>
            <w:r>
              <w:rPr>
                <w:color w:val="000000"/>
                <w:sz w:val="24"/>
              </w:rPr>
              <w:t>(LOF)</w:t>
            </w:r>
            <w:r>
              <w:rPr>
                <w:color w:val="000000"/>
                <w:sz w:val="24"/>
              </w:rPr>
              <w:t>的基金经理、易方达稳健收益债券型证券投资基金的基金经理助理、易方达丰惠混合型证券投资基金的基金经理助理、固定收益研究部总经理助理</w:t>
            </w:r>
          </w:p>
        </w:tc>
        <w:tc>
          <w:tcPr>
            <w:tcW w:w="851" w:type="dxa"/>
            <w:vAlign w:val="center"/>
          </w:tcPr>
          <w:p w:rsidR="00091AB5" w:rsidRDefault="0062689C">
            <w:pPr>
              <w:jc w:val="center"/>
            </w:pPr>
            <w:r>
              <w:rPr>
                <w:color w:val="000000"/>
                <w:sz w:val="24"/>
              </w:rPr>
              <w:t>2013-09-14</w:t>
            </w:r>
          </w:p>
        </w:tc>
        <w:tc>
          <w:tcPr>
            <w:tcW w:w="850" w:type="dxa"/>
            <w:vAlign w:val="center"/>
          </w:tcPr>
          <w:p w:rsidR="00091AB5" w:rsidRDefault="0062689C">
            <w:pPr>
              <w:jc w:val="center"/>
            </w:pPr>
            <w:r>
              <w:rPr>
                <w:color w:val="000000"/>
                <w:sz w:val="24"/>
              </w:rPr>
              <w:t>-</w:t>
            </w:r>
          </w:p>
        </w:tc>
        <w:tc>
          <w:tcPr>
            <w:tcW w:w="851" w:type="dxa"/>
            <w:vAlign w:val="center"/>
          </w:tcPr>
          <w:p w:rsidR="00091AB5" w:rsidRDefault="0062689C">
            <w:pPr>
              <w:jc w:val="center"/>
            </w:pPr>
            <w:r>
              <w:rPr>
                <w:color w:val="000000"/>
                <w:sz w:val="24"/>
              </w:rPr>
              <w:t>10</w:t>
            </w:r>
            <w:r>
              <w:rPr>
                <w:color w:val="000000"/>
                <w:sz w:val="24"/>
              </w:rPr>
              <w:t>年</w:t>
            </w:r>
          </w:p>
        </w:tc>
        <w:tc>
          <w:tcPr>
            <w:tcW w:w="2977" w:type="dxa"/>
            <w:vAlign w:val="center"/>
          </w:tcPr>
          <w:p w:rsidR="00091AB5" w:rsidRDefault="0062689C">
            <w:r>
              <w:rPr>
                <w:color w:val="000000"/>
                <w:sz w:val="24"/>
              </w:rPr>
              <w:t>硕士研究生，曾任易方达基金管理有限公司固定收益研究员、投资经理助理兼固定收益研究员。</w:t>
            </w:r>
          </w:p>
        </w:tc>
      </w:tr>
    </w:tbl>
    <w:p w:rsidR="00091AB5" w:rsidRDefault="0062689C">
      <w:pPr>
        <w:spacing w:line="360" w:lineRule="auto"/>
        <w:ind w:firstLineChars="200" w:firstLine="480"/>
        <w:rPr>
          <w:color w:val="000000"/>
          <w:sz w:val="24"/>
        </w:rPr>
      </w:pPr>
      <w:r>
        <w:rPr>
          <w:color w:val="000000"/>
          <w:sz w:val="24"/>
        </w:rPr>
        <w:t>注：</w:t>
      </w:r>
      <w:r>
        <w:rPr>
          <w:color w:val="000000"/>
          <w:sz w:val="24"/>
        </w:rPr>
        <w:t>1.</w:t>
      </w:r>
      <w:r>
        <w:rPr>
          <w:color w:val="000000"/>
          <w:sz w:val="24"/>
        </w:rPr>
        <w:t>对基</w:t>
      </w:r>
      <w:r>
        <w:rPr>
          <w:color w:val="000000"/>
          <w:sz w:val="24"/>
        </w:rPr>
        <w:t>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lastRenderedPageBreak/>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091AB5" w:rsidRDefault="0062689C">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091AB5" w:rsidRDefault="0062689C">
      <w:pPr>
        <w:spacing w:line="360" w:lineRule="auto"/>
        <w:ind w:firstLineChars="200" w:firstLine="480"/>
        <w:rPr>
          <w:color w:val="000000"/>
          <w:sz w:val="24"/>
        </w:rPr>
      </w:pPr>
      <w:r>
        <w:rPr>
          <w:color w:val="000000"/>
          <w:sz w:val="24"/>
        </w:rPr>
        <w:t>2019</w:t>
      </w:r>
      <w:r>
        <w:rPr>
          <w:color w:val="000000"/>
          <w:sz w:val="24"/>
        </w:rPr>
        <w:t>年三季度经济数据继续呈现月底波动较大但整体偏弱的特征。经济数据在</w:t>
      </w:r>
      <w:r>
        <w:rPr>
          <w:color w:val="000000"/>
          <w:sz w:val="24"/>
        </w:rPr>
        <w:t>6</w:t>
      </w:r>
      <w:r>
        <w:rPr>
          <w:color w:val="000000"/>
          <w:sz w:val="24"/>
        </w:rPr>
        <w:t>月份全面大幅回升之后，</w:t>
      </w:r>
      <w:r>
        <w:rPr>
          <w:color w:val="000000"/>
          <w:sz w:val="24"/>
        </w:rPr>
        <w:t>7</w:t>
      </w:r>
      <w:r>
        <w:rPr>
          <w:color w:val="000000"/>
          <w:sz w:val="24"/>
        </w:rPr>
        <w:t>月份显著回落。</w:t>
      </w:r>
      <w:r>
        <w:rPr>
          <w:color w:val="000000"/>
          <w:sz w:val="24"/>
        </w:rPr>
        <w:t>8</w:t>
      </w:r>
      <w:r>
        <w:rPr>
          <w:color w:val="000000"/>
          <w:sz w:val="24"/>
        </w:rPr>
        <w:t>月份数据则在</w:t>
      </w:r>
      <w:r>
        <w:rPr>
          <w:color w:val="000000"/>
          <w:sz w:val="24"/>
        </w:rPr>
        <w:t>7</w:t>
      </w:r>
      <w:r>
        <w:rPr>
          <w:color w:val="000000"/>
          <w:sz w:val="24"/>
        </w:rPr>
        <w:t>月份的基础上持平，显示经济整体在偏弱的水平。从结构上看，制造业投资和以汽车消费为代表的零售数据波动较大。基建投资低位企稳，房地产投资平稳略有波动，维持在相对较好的水平。房地产销售随着三、四线城市的持续好转，显示出较好的韧性。通胀压力略有抬升，但主要是食品价格的大幅抬升带来，非食品价格压力较小，</w:t>
      </w:r>
      <w:r>
        <w:rPr>
          <w:color w:val="000000"/>
          <w:sz w:val="24"/>
        </w:rPr>
        <w:t>PPI</w:t>
      </w:r>
      <w:r>
        <w:rPr>
          <w:color w:val="000000"/>
          <w:sz w:val="24"/>
        </w:rPr>
        <w:t>再度回到负值区间。</w:t>
      </w:r>
    </w:p>
    <w:p w:rsidR="00091AB5" w:rsidRDefault="0062689C">
      <w:pPr>
        <w:spacing w:line="360" w:lineRule="auto"/>
        <w:ind w:firstLineChars="200" w:firstLine="480"/>
        <w:rPr>
          <w:color w:val="000000"/>
          <w:sz w:val="24"/>
        </w:rPr>
      </w:pPr>
      <w:r>
        <w:rPr>
          <w:color w:val="000000"/>
          <w:sz w:val="24"/>
        </w:rPr>
        <w:t>政策面对债券市场影响相对偏负面。央行的货币政策更加专注于疏通传导</w:t>
      </w:r>
      <w:r>
        <w:rPr>
          <w:color w:val="000000"/>
          <w:sz w:val="24"/>
        </w:rPr>
        <w:t>机制，以</w:t>
      </w:r>
      <w:r>
        <w:rPr>
          <w:color w:val="000000"/>
          <w:sz w:val="24"/>
        </w:rPr>
        <w:t>LPR</w:t>
      </w:r>
      <w:r>
        <w:rPr>
          <w:color w:val="000000"/>
          <w:sz w:val="24"/>
        </w:rPr>
        <w:t>改革为主导的不对称降息是其主要的政策推进方向，该方向对债券市场影响偏负面。财政方面，地方债额度提前下放增加了基建投资的使用空间。受上述政策面的影响，收益率水平在</w:t>
      </w:r>
      <w:r>
        <w:rPr>
          <w:color w:val="000000"/>
          <w:sz w:val="24"/>
        </w:rPr>
        <w:t>8</w:t>
      </w:r>
      <w:r>
        <w:rPr>
          <w:color w:val="000000"/>
          <w:sz w:val="24"/>
        </w:rPr>
        <w:t>月上旬冲低后回升，收益率回到季初水平。债券市场呈现明显的震荡格局。</w:t>
      </w:r>
    </w:p>
    <w:p w:rsidR="00F016DD" w:rsidRPr="00DF18FE" w:rsidRDefault="00F016DD" w:rsidP="00DF18FE">
      <w:pPr>
        <w:spacing w:line="360" w:lineRule="auto"/>
        <w:ind w:firstLineChars="200" w:firstLine="480"/>
        <w:rPr>
          <w:color w:val="000000"/>
          <w:sz w:val="24"/>
        </w:rPr>
      </w:pPr>
      <w:r w:rsidRPr="00DF18FE">
        <w:rPr>
          <w:color w:val="000000"/>
          <w:sz w:val="24"/>
        </w:rPr>
        <w:t>操作上，组合在</w:t>
      </w:r>
      <w:r w:rsidRPr="00DF18FE">
        <w:rPr>
          <w:color w:val="000000"/>
          <w:sz w:val="24"/>
        </w:rPr>
        <w:t>7-8</w:t>
      </w:r>
      <w:r w:rsidRPr="00DF18FE">
        <w:rPr>
          <w:color w:val="000000"/>
          <w:sz w:val="24"/>
        </w:rPr>
        <w:t>月份保持了相对偏长的有效久期，在</w:t>
      </w:r>
      <w:r w:rsidRPr="00DF18FE">
        <w:rPr>
          <w:color w:val="000000"/>
          <w:sz w:val="24"/>
        </w:rPr>
        <w:t>9</w:t>
      </w:r>
      <w:r w:rsidRPr="00DF18FE">
        <w:rPr>
          <w:color w:val="000000"/>
          <w:sz w:val="24"/>
        </w:rPr>
        <w:t>月下旬适度降低了利率债有效久期。信用债方面积极进行个券调整，获取利差波动的收益。</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1.129</w:t>
      </w:r>
      <w:r w:rsidRPr="00DF18FE">
        <w:rPr>
          <w:color w:val="000000"/>
          <w:sz w:val="24"/>
        </w:rPr>
        <w:t>元，本报告期份额净值增长率为</w:t>
      </w:r>
      <w:r w:rsidRPr="00DF18FE">
        <w:rPr>
          <w:color w:val="000000"/>
          <w:sz w:val="24"/>
        </w:rPr>
        <w:t>1.49%</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1.115</w:t>
      </w:r>
      <w:r w:rsidRPr="00DF18FE">
        <w:rPr>
          <w:color w:val="000000"/>
          <w:sz w:val="24"/>
        </w:rPr>
        <w:t>元，本报告期份额净值增长率为</w:t>
      </w:r>
      <w:r w:rsidRPr="00DF18FE">
        <w:rPr>
          <w:color w:val="000000"/>
          <w:sz w:val="24"/>
        </w:rPr>
        <w:t>1.42%</w:t>
      </w:r>
      <w:r w:rsidRPr="00DF18FE">
        <w:rPr>
          <w:color w:val="000000"/>
          <w:sz w:val="24"/>
        </w:rPr>
        <w:t>；同期</w:t>
      </w:r>
      <w:r w:rsidRPr="00DF18FE">
        <w:rPr>
          <w:color w:val="000000"/>
          <w:sz w:val="24"/>
        </w:rPr>
        <w:lastRenderedPageBreak/>
        <w:t>业绩比较基准收益率为</w:t>
      </w:r>
      <w:r w:rsidRPr="00DF18FE">
        <w:rPr>
          <w:color w:val="000000"/>
          <w:sz w:val="24"/>
        </w:rPr>
        <w:t>0.41%</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4,260,104,249.50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97.12</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4,209,813,249.50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95.97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50,291,000.00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1.15</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53,061,154.61</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1.21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73,393,577.95</w:t>
            </w:r>
          </w:p>
        </w:tc>
        <w:tc>
          <w:tcPr>
            <w:tcW w:w="1843" w:type="dxa"/>
            <w:vAlign w:val="center"/>
          </w:tcPr>
          <w:p w:rsidR="00F016DD" w:rsidRPr="00FA472B" w:rsidRDefault="00F016DD" w:rsidP="00F4518C">
            <w:pPr>
              <w:jc w:val="right"/>
              <w:rPr>
                <w:color w:val="000000"/>
                <w:sz w:val="24"/>
              </w:rPr>
            </w:pPr>
            <w:r w:rsidRPr="00FA472B">
              <w:rPr>
                <w:color w:val="000000"/>
                <w:sz w:val="24"/>
              </w:rPr>
              <w:t>1.67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4,386,558,982.06</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p w:rsidR="00874AA3" w:rsidRPr="00EA6415" w:rsidRDefault="00874AA3" w:rsidP="00EA6415">
      <w:pPr>
        <w:spacing w:line="360" w:lineRule="auto"/>
        <w:ind w:firstLineChars="200" w:firstLine="480"/>
        <w:rPr>
          <w:color w:val="000000"/>
          <w:sz w:val="24"/>
        </w:rPr>
      </w:pPr>
      <w:r w:rsidRPr="00EA6415">
        <w:rPr>
          <w:color w:val="000000"/>
          <w:sz w:val="24"/>
        </w:rPr>
        <w:t>本基金本报告期末未持有境内股票。</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210,068,000.00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5.26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210,068,000.00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5.26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1,536,006,249.50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38.49</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190,850,000.00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4.78</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2,272,889,000.00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56.95</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4,209,813,249.50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105.49</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091AB5">
        <w:tc>
          <w:tcPr>
            <w:tcW w:w="802" w:type="dxa"/>
            <w:vAlign w:val="center"/>
          </w:tcPr>
          <w:p w:rsidR="00091AB5" w:rsidRDefault="0062689C">
            <w:pPr>
              <w:jc w:val="center"/>
            </w:pPr>
            <w:r>
              <w:rPr>
                <w:color w:val="000000"/>
                <w:sz w:val="24"/>
              </w:rPr>
              <w:t>1</w:t>
            </w:r>
          </w:p>
        </w:tc>
        <w:tc>
          <w:tcPr>
            <w:tcW w:w="1559" w:type="dxa"/>
            <w:vAlign w:val="center"/>
          </w:tcPr>
          <w:p w:rsidR="00091AB5" w:rsidRDefault="0062689C">
            <w:pPr>
              <w:jc w:val="center"/>
            </w:pPr>
            <w:r>
              <w:rPr>
                <w:color w:val="000000"/>
                <w:sz w:val="24"/>
              </w:rPr>
              <w:t>190304</w:t>
            </w:r>
          </w:p>
        </w:tc>
        <w:tc>
          <w:tcPr>
            <w:tcW w:w="1985" w:type="dxa"/>
            <w:vAlign w:val="center"/>
          </w:tcPr>
          <w:p w:rsidR="00091AB5" w:rsidRDefault="0062689C">
            <w:pPr>
              <w:jc w:val="center"/>
            </w:pPr>
            <w:r>
              <w:rPr>
                <w:color w:val="000000"/>
                <w:sz w:val="24"/>
              </w:rPr>
              <w:t>19</w:t>
            </w:r>
            <w:r>
              <w:rPr>
                <w:color w:val="000000"/>
                <w:sz w:val="24"/>
              </w:rPr>
              <w:t>进出</w:t>
            </w:r>
            <w:r>
              <w:rPr>
                <w:color w:val="000000"/>
                <w:sz w:val="24"/>
              </w:rPr>
              <w:t>04</w:t>
            </w:r>
          </w:p>
        </w:tc>
        <w:tc>
          <w:tcPr>
            <w:tcW w:w="1559" w:type="dxa"/>
            <w:vAlign w:val="center"/>
          </w:tcPr>
          <w:p w:rsidR="00091AB5" w:rsidRDefault="0062689C">
            <w:pPr>
              <w:jc w:val="right"/>
            </w:pPr>
            <w:r>
              <w:rPr>
                <w:color w:val="000000"/>
                <w:sz w:val="24"/>
              </w:rPr>
              <w:t>1,300,000</w:t>
            </w:r>
          </w:p>
        </w:tc>
        <w:tc>
          <w:tcPr>
            <w:tcW w:w="2126" w:type="dxa"/>
            <w:vAlign w:val="center"/>
          </w:tcPr>
          <w:p w:rsidR="00091AB5" w:rsidRDefault="0062689C">
            <w:pPr>
              <w:jc w:val="right"/>
            </w:pPr>
            <w:r>
              <w:rPr>
                <w:color w:val="000000"/>
                <w:sz w:val="24"/>
              </w:rPr>
              <w:t>129,974,000.00</w:t>
            </w:r>
          </w:p>
        </w:tc>
        <w:tc>
          <w:tcPr>
            <w:tcW w:w="990" w:type="dxa"/>
            <w:vAlign w:val="center"/>
          </w:tcPr>
          <w:p w:rsidR="00091AB5" w:rsidRDefault="0062689C">
            <w:pPr>
              <w:jc w:val="right"/>
            </w:pPr>
            <w:r>
              <w:rPr>
                <w:color w:val="000000"/>
                <w:sz w:val="24"/>
              </w:rPr>
              <w:t>3.26</w:t>
            </w:r>
          </w:p>
        </w:tc>
      </w:tr>
      <w:tr w:rsidR="00091AB5">
        <w:tc>
          <w:tcPr>
            <w:tcW w:w="802" w:type="dxa"/>
            <w:vAlign w:val="center"/>
          </w:tcPr>
          <w:p w:rsidR="00091AB5" w:rsidRDefault="0062689C">
            <w:pPr>
              <w:jc w:val="center"/>
            </w:pPr>
            <w:r>
              <w:rPr>
                <w:color w:val="000000"/>
                <w:sz w:val="24"/>
              </w:rPr>
              <w:t>2</w:t>
            </w:r>
          </w:p>
        </w:tc>
        <w:tc>
          <w:tcPr>
            <w:tcW w:w="1559" w:type="dxa"/>
            <w:vAlign w:val="center"/>
          </w:tcPr>
          <w:p w:rsidR="00091AB5" w:rsidRDefault="0062689C">
            <w:pPr>
              <w:jc w:val="center"/>
            </w:pPr>
            <w:r>
              <w:rPr>
                <w:color w:val="000000"/>
                <w:sz w:val="24"/>
              </w:rPr>
              <w:t>101901238</w:t>
            </w:r>
          </w:p>
        </w:tc>
        <w:tc>
          <w:tcPr>
            <w:tcW w:w="1985" w:type="dxa"/>
            <w:vAlign w:val="center"/>
          </w:tcPr>
          <w:p w:rsidR="00091AB5" w:rsidRDefault="0062689C">
            <w:pPr>
              <w:jc w:val="center"/>
            </w:pPr>
            <w:r>
              <w:rPr>
                <w:color w:val="000000"/>
                <w:sz w:val="24"/>
              </w:rPr>
              <w:t>19</w:t>
            </w:r>
            <w:r>
              <w:rPr>
                <w:color w:val="000000"/>
                <w:sz w:val="24"/>
              </w:rPr>
              <w:t>大唐集</w:t>
            </w:r>
            <w:r>
              <w:rPr>
                <w:color w:val="000000"/>
                <w:sz w:val="24"/>
              </w:rPr>
              <w:t>MTN002</w:t>
            </w:r>
          </w:p>
        </w:tc>
        <w:tc>
          <w:tcPr>
            <w:tcW w:w="1559" w:type="dxa"/>
            <w:vAlign w:val="center"/>
          </w:tcPr>
          <w:p w:rsidR="00091AB5" w:rsidRDefault="0062689C">
            <w:pPr>
              <w:jc w:val="right"/>
            </w:pPr>
            <w:r>
              <w:rPr>
                <w:color w:val="000000"/>
                <w:sz w:val="24"/>
              </w:rPr>
              <w:t>1,000,000</w:t>
            </w:r>
          </w:p>
        </w:tc>
        <w:tc>
          <w:tcPr>
            <w:tcW w:w="2126" w:type="dxa"/>
            <w:vAlign w:val="center"/>
          </w:tcPr>
          <w:p w:rsidR="00091AB5" w:rsidRDefault="0062689C">
            <w:pPr>
              <w:jc w:val="right"/>
            </w:pPr>
            <w:r>
              <w:rPr>
                <w:color w:val="000000"/>
                <w:sz w:val="24"/>
              </w:rPr>
              <w:t>100,140,000.00</w:t>
            </w:r>
          </w:p>
        </w:tc>
        <w:tc>
          <w:tcPr>
            <w:tcW w:w="990" w:type="dxa"/>
            <w:vAlign w:val="center"/>
          </w:tcPr>
          <w:p w:rsidR="00091AB5" w:rsidRDefault="0062689C">
            <w:pPr>
              <w:jc w:val="right"/>
            </w:pPr>
            <w:r>
              <w:rPr>
                <w:color w:val="000000"/>
                <w:sz w:val="24"/>
              </w:rPr>
              <w:t>2.51</w:t>
            </w:r>
          </w:p>
        </w:tc>
      </w:tr>
      <w:tr w:rsidR="00091AB5">
        <w:tc>
          <w:tcPr>
            <w:tcW w:w="802" w:type="dxa"/>
            <w:vAlign w:val="center"/>
          </w:tcPr>
          <w:p w:rsidR="00091AB5" w:rsidRDefault="0062689C">
            <w:pPr>
              <w:jc w:val="center"/>
            </w:pPr>
            <w:r>
              <w:rPr>
                <w:color w:val="000000"/>
                <w:sz w:val="24"/>
              </w:rPr>
              <w:t>3</w:t>
            </w:r>
          </w:p>
        </w:tc>
        <w:tc>
          <w:tcPr>
            <w:tcW w:w="1559" w:type="dxa"/>
            <w:vAlign w:val="center"/>
          </w:tcPr>
          <w:p w:rsidR="00091AB5" w:rsidRDefault="0062689C">
            <w:pPr>
              <w:jc w:val="center"/>
            </w:pPr>
            <w:r>
              <w:rPr>
                <w:color w:val="000000"/>
                <w:sz w:val="24"/>
              </w:rPr>
              <w:t>155601</w:t>
            </w:r>
          </w:p>
        </w:tc>
        <w:tc>
          <w:tcPr>
            <w:tcW w:w="1985" w:type="dxa"/>
            <w:vAlign w:val="center"/>
          </w:tcPr>
          <w:p w:rsidR="00091AB5" w:rsidRDefault="0062689C">
            <w:pPr>
              <w:jc w:val="center"/>
            </w:pPr>
            <w:r>
              <w:rPr>
                <w:color w:val="000000"/>
                <w:sz w:val="24"/>
              </w:rPr>
              <w:t>19</w:t>
            </w:r>
            <w:r>
              <w:rPr>
                <w:color w:val="000000"/>
                <w:sz w:val="24"/>
              </w:rPr>
              <w:t>联发</w:t>
            </w:r>
            <w:r>
              <w:rPr>
                <w:color w:val="000000"/>
                <w:sz w:val="24"/>
              </w:rPr>
              <w:t>02</w:t>
            </w:r>
          </w:p>
        </w:tc>
        <w:tc>
          <w:tcPr>
            <w:tcW w:w="1559" w:type="dxa"/>
            <w:vAlign w:val="center"/>
          </w:tcPr>
          <w:p w:rsidR="00091AB5" w:rsidRDefault="0062689C">
            <w:pPr>
              <w:jc w:val="right"/>
            </w:pPr>
            <w:r>
              <w:rPr>
                <w:color w:val="000000"/>
                <w:sz w:val="24"/>
              </w:rPr>
              <w:t>1,000,000</w:t>
            </w:r>
          </w:p>
        </w:tc>
        <w:tc>
          <w:tcPr>
            <w:tcW w:w="2126" w:type="dxa"/>
            <w:vAlign w:val="center"/>
          </w:tcPr>
          <w:p w:rsidR="00091AB5" w:rsidRDefault="0062689C">
            <w:pPr>
              <w:jc w:val="right"/>
            </w:pPr>
            <w:r>
              <w:rPr>
                <w:color w:val="000000"/>
                <w:sz w:val="24"/>
              </w:rPr>
              <w:t>99,630,000.00</w:t>
            </w:r>
          </w:p>
        </w:tc>
        <w:tc>
          <w:tcPr>
            <w:tcW w:w="990" w:type="dxa"/>
            <w:vAlign w:val="center"/>
          </w:tcPr>
          <w:p w:rsidR="00091AB5" w:rsidRDefault="0062689C">
            <w:pPr>
              <w:jc w:val="right"/>
            </w:pPr>
            <w:r>
              <w:rPr>
                <w:color w:val="000000"/>
                <w:sz w:val="24"/>
              </w:rPr>
              <w:t>2.50</w:t>
            </w:r>
          </w:p>
        </w:tc>
      </w:tr>
      <w:tr w:rsidR="00091AB5">
        <w:tc>
          <w:tcPr>
            <w:tcW w:w="802" w:type="dxa"/>
            <w:vAlign w:val="center"/>
          </w:tcPr>
          <w:p w:rsidR="00091AB5" w:rsidRDefault="0062689C">
            <w:pPr>
              <w:jc w:val="center"/>
            </w:pPr>
            <w:r>
              <w:rPr>
                <w:color w:val="000000"/>
                <w:sz w:val="24"/>
              </w:rPr>
              <w:t>4</w:t>
            </w:r>
          </w:p>
        </w:tc>
        <w:tc>
          <w:tcPr>
            <w:tcW w:w="1559" w:type="dxa"/>
            <w:vAlign w:val="center"/>
          </w:tcPr>
          <w:p w:rsidR="00091AB5" w:rsidRDefault="0062689C">
            <w:pPr>
              <w:jc w:val="center"/>
            </w:pPr>
            <w:r>
              <w:rPr>
                <w:color w:val="000000"/>
                <w:sz w:val="24"/>
              </w:rPr>
              <w:t>101900528</w:t>
            </w:r>
          </w:p>
        </w:tc>
        <w:tc>
          <w:tcPr>
            <w:tcW w:w="1985" w:type="dxa"/>
            <w:vAlign w:val="center"/>
          </w:tcPr>
          <w:p w:rsidR="00091AB5" w:rsidRDefault="0062689C">
            <w:pPr>
              <w:jc w:val="center"/>
            </w:pPr>
            <w:r>
              <w:rPr>
                <w:color w:val="000000"/>
                <w:sz w:val="24"/>
              </w:rPr>
              <w:t>19</w:t>
            </w:r>
            <w:r>
              <w:rPr>
                <w:color w:val="000000"/>
                <w:sz w:val="24"/>
              </w:rPr>
              <w:t>大连港</w:t>
            </w:r>
            <w:r>
              <w:rPr>
                <w:color w:val="000000"/>
                <w:sz w:val="24"/>
              </w:rPr>
              <w:t>MTN001</w:t>
            </w:r>
          </w:p>
        </w:tc>
        <w:tc>
          <w:tcPr>
            <w:tcW w:w="1559" w:type="dxa"/>
            <w:vAlign w:val="center"/>
          </w:tcPr>
          <w:p w:rsidR="00091AB5" w:rsidRDefault="0062689C">
            <w:pPr>
              <w:jc w:val="right"/>
            </w:pPr>
            <w:r>
              <w:rPr>
                <w:color w:val="000000"/>
                <w:sz w:val="24"/>
              </w:rPr>
              <w:t>800,000</w:t>
            </w:r>
          </w:p>
        </w:tc>
        <w:tc>
          <w:tcPr>
            <w:tcW w:w="2126" w:type="dxa"/>
            <w:vAlign w:val="center"/>
          </w:tcPr>
          <w:p w:rsidR="00091AB5" w:rsidRDefault="0062689C">
            <w:pPr>
              <w:jc w:val="right"/>
            </w:pPr>
            <w:r>
              <w:rPr>
                <w:color w:val="000000"/>
                <w:sz w:val="24"/>
              </w:rPr>
              <w:t>82,336,000.00</w:t>
            </w:r>
          </w:p>
        </w:tc>
        <w:tc>
          <w:tcPr>
            <w:tcW w:w="990" w:type="dxa"/>
            <w:vAlign w:val="center"/>
          </w:tcPr>
          <w:p w:rsidR="00091AB5" w:rsidRDefault="0062689C">
            <w:pPr>
              <w:jc w:val="right"/>
            </w:pPr>
            <w:r>
              <w:rPr>
                <w:color w:val="000000"/>
                <w:sz w:val="24"/>
              </w:rPr>
              <w:t>2.06</w:t>
            </w:r>
          </w:p>
        </w:tc>
      </w:tr>
      <w:tr w:rsidR="00091AB5">
        <w:tc>
          <w:tcPr>
            <w:tcW w:w="802" w:type="dxa"/>
            <w:vAlign w:val="center"/>
          </w:tcPr>
          <w:p w:rsidR="00091AB5" w:rsidRDefault="0062689C">
            <w:pPr>
              <w:jc w:val="center"/>
            </w:pPr>
            <w:r>
              <w:rPr>
                <w:color w:val="000000"/>
                <w:sz w:val="24"/>
              </w:rPr>
              <w:t>5</w:t>
            </w:r>
          </w:p>
        </w:tc>
        <w:tc>
          <w:tcPr>
            <w:tcW w:w="1559" w:type="dxa"/>
            <w:vAlign w:val="center"/>
          </w:tcPr>
          <w:p w:rsidR="00091AB5" w:rsidRDefault="0062689C">
            <w:pPr>
              <w:jc w:val="center"/>
            </w:pPr>
            <w:r>
              <w:rPr>
                <w:color w:val="000000"/>
                <w:sz w:val="24"/>
              </w:rPr>
              <w:t>101900488</w:t>
            </w:r>
          </w:p>
        </w:tc>
        <w:tc>
          <w:tcPr>
            <w:tcW w:w="1985" w:type="dxa"/>
            <w:vAlign w:val="center"/>
          </w:tcPr>
          <w:p w:rsidR="00091AB5" w:rsidRDefault="0062689C">
            <w:pPr>
              <w:jc w:val="center"/>
            </w:pPr>
            <w:r>
              <w:rPr>
                <w:color w:val="000000"/>
                <w:sz w:val="24"/>
              </w:rPr>
              <w:t>19</w:t>
            </w:r>
            <w:r>
              <w:rPr>
                <w:color w:val="000000"/>
                <w:sz w:val="24"/>
              </w:rPr>
              <w:t>首钢</w:t>
            </w:r>
            <w:r>
              <w:rPr>
                <w:color w:val="000000"/>
                <w:sz w:val="24"/>
              </w:rPr>
              <w:t>MTN003</w:t>
            </w:r>
          </w:p>
        </w:tc>
        <w:tc>
          <w:tcPr>
            <w:tcW w:w="1559" w:type="dxa"/>
            <w:vAlign w:val="center"/>
          </w:tcPr>
          <w:p w:rsidR="00091AB5" w:rsidRDefault="0062689C">
            <w:pPr>
              <w:jc w:val="right"/>
            </w:pPr>
            <w:r>
              <w:rPr>
                <w:color w:val="000000"/>
                <w:sz w:val="24"/>
              </w:rPr>
              <w:t>800,000</w:t>
            </w:r>
          </w:p>
        </w:tc>
        <w:tc>
          <w:tcPr>
            <w:tcW w:w="2126" w:type="dxa"/>
            <w:vAlign w:val="center"/>
          </w:tcPr>
          <w:p w:rsidR="00091AB5" w:rsidRDefault="0062689C">
            <w:pPr>
              <w:jc w:val="right"/>
            </w:pPr>
            <w:r>
              <w:rPr>
                <w:color w:val="000000"/>
                <w:sz w:val="24"/>
              </w:rPr>
              <w:t>82,144,000.00</w:t>
            </w:r>
          </w:p>
        </w:tc>
        <w:tc>
          <w:tcPr>
            <w:tcW w:w="990" w:type="dxa"/>
            <w:vAlign w:val="center"/>
          </w:tcPr>
          <w:p w:rsidR="00091AB5" w:rsidRDefault="0062689C">
            <w:pPr>
              <w:jc w:val="right"/>
            </w:pPr>
            <w:r>
              <w:rPr>
                <w:color w:val="000000"/>
                <w:sz w:val="24"/>
              </w:rPr>
              <w:t>2.06</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0"/>
        <w:gridCol w:w="1325"/>
        <w:gridCol w:w="1291"/>
        <w:gridCol w:w="1807"/>
        <w:gridCol w:w="1697"/>
        <w:gridCol w:w="1721"/>
      </w:tblGrid>
      <w:tr w:rsidR="00F016DD" w:rsidRPr="0078105B" w:rsidTr="00174038">
        <w:tc>
          <w:tcPr>
            <w:tcW w:w="1187"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3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证券代码</w:t>
            </w:r>
          </w:p>
        </w:tc>
        <w:tc>
          <w:tcPr>
            <w:tcW w:w="1263"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证券名称</w:t>
            </w:r>
          </w:p>
        </w:tc>
        <w:tc>
          <w:tcPr>
            <w:tcW w:w="181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w:t>
            </w:r>
            <w:r w:rsidRPr="00FA472B">
              <w:rPr>
                <w:color w:val="000000"/>
                <w:kern w:val="0"/>
                <w:sz w:val="24"/>
              </w:rPr>
              <w:t>(</w:t>
            </w:r>
            <w:r w:rsidRPr="00FA472B">
              <w:rPr>
                <w:color w:val="000000"/>
                <w:kern w:val="0"/>
                <w:sz w:val="24"/>
              </w:rPr>
              <w:t>份</w:t>
            </w:r>
            <w:r w:rsidRPr="00FA472B">
              <w:rPr>
                <w:color w:val="000000"/>
                <w:kern w:val="0"/>
                <w:sz w:val="24"/>
              </w:rPr>
              <w:t>)</w:t>
            </w:r>
          </w:p>
        </w:tc>
        <w:tc>
          <w:tcPr>
            <w:tcW w:w="1698"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17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r w:rsidRPr="00FA472B">
              <w:rPr>
                <w:color w:val="000000"/>
                <w:kern w:val="0"/>
                <w:sz w:val="24"/>
              </w:rPr>
              <w:t>%</w:t>
            </w:r>
            <w:r w:rsidRPr="00FA472B">
              <w:rPr>
                <w:color w:val="000000"/>
                <w:kern w:val="0"/>
                <w:sz w:val="24"/>
              </w:rPr>
              <w:t>）</w:t>
            </w:r>
          </w:p>
        </w:tc>
      </w:tr>
      <w:tr w:rsidR="00091AB5">
        <w:tc>
          <w:tcPr>
            <w:tcW w:w="0" w:type="auto"/>
            <w:vAlign w:val="center"/>
          </w:tcPr>
          <w:p w:rsidR="00091AB5" w:rsidRDefault="0062689C">
            <w:pPr>
              <w:jc w:val="center"/>
            </w:pPr>
            <w:r>
              <w:rPr>
                <w:color w:val="000000"/>
                <w:sz w:val="24"/>
              </w:rPr>
              <w:t>1</w:t>
            </w:r>
          </w:p>
        </w:tc>
        <w:tc>
          <w:tcPr>
            <w:tcW w:w="0" w:type="auto"/>
            <w:vAlign w:val="center"/>
          </w:tcPr>
          <w:p w:rsidR="00091AB5" w:rsidRDefault="0062689C">
            <w:pPr>
              <w:jc w:val="center"/>
            </w:pPr>
            <w:r>
              <w:rPr>
                <w:color w:val="000000"/>
                <w:sz w:val="24"/>
              </w:rPr>
              <w:t>139318</w:t>
            </w:r>
          </w:p>
        </w:tc>
        <w:tc>
          <w:tcPr>
            <w:tcW w:w="0" w:type="auto"/>
            <w:vAlign w:val="center"/>
          </w:tcPr>
          <w:p w:rsidR="00091AB5" w:rsidRDefault="0062689C">
            <w:pPr>
              <w:jc w:val="center"/>
            </w:pPr>
            <w:r>
              <w:rPr>
                <w:color w:val="000000"/>
                <w:sz w:val="24"/>
              </w:rPr>
              <w:t>万科</w:t>
            </w:r>
            <w:r>
              <w:rPr>
                <w:color w:val="000000"/>
                <w:sz w:val="24"/>
              </w:rPr>
              <w:t>31A1</w:t>
            </w:r>
          </w:p>
        </w:tc>
        <w:tc>
          <w:tcPr>
            <w:tcW w:w="0" w:type="auto"/>
            <w:vAlign w:val="center"/>
          </w:tcPr>
          <w:p w:rsidR="00091AB5" w:rsidRDefault="0062689C">
            <w:pPr>
              <w:jc w:val="right"/>
            </w:pPr>
            <w:r>
              <w:rPr>
                <w:color w:val="000000"/>
                <w:sz w:val="24"/>
              </w:rPr>
              <w:t>300,000</w:t>
            </w:r>
          </w:p>
        </w:tc>
        <w:tc>
          <w:tcPr>
            <w:tcW w:w="0" w:type="auto"/>
            <w:vAlign w:val="center"/>
          </w:tcPr>
          <w:p w:rsidR="00091AB5" w:rsidRDefault="0062689C">
            <w:pPr>
              <w:jc w:val="right"/>
            </w:pPr>
            <w:r>
              <w:rPr>
                <w:color w:val="000000"/>
                <w:sz w:val="24"/>
              </w:rPr>
              <w:t>30,267,000.00</w:t>
            </w:r>
          </w:p>
        </w:tc>
        <w:tc>
          <w:tcPr>
            <w:tcW w:w="0" w:type="auto"/>
            <w:vAlign w:val="center"/>
          </w:tcPr>
          <w:p w:rsidR="00091AB5" w:rsidRDefault="0062689C">
            <w:pPr>
              <w:jc w:val="right"/>
            </w:pPr>
            <w:r>
              <w:rPr>
                <w:color w:val="000000"/>
                <w:sz w:val="24"/>
              </w:rPr>
              <w:t>0.76</w:t>
            </w:r>
          </w:p>
        </w:tc>
      </w:tr>
      <w:tr w:rsidR="00091AB5">
        <w:tc>
          <w:tcPr>
            <w:tcW w:w="0" w:type="auto"/>
            <w:vAlign w:val="center"/>
          </w:tcPr>
          <w:p w:rsidR="00091AB5" w:rsidRDefault="0062689C">
            <w:pPr>
              <w:jc w:val="center"/>
            </w:pPr>
            <w:r>
              <w:rPr>
                <w:color w:val="000000"/>
                <w:sz w:val="24"/>
              </w:rPr>
              <w:t>2</w:t>
            </w:r>
          </w:p>
        </w:tc>
        <w:tc>
          <w:tcPr>
            <w:tcW w:w="0" w:type="auto"/>
            <w:vAlign w:val="center"/>
          </w:tcPr>
          <w:p w:rsidR="00091AB5" w:rsidRDefault="0062689C">
            <w:pPr>
              <w:jc w:val="center"/>
            </w:pPr>
            <w:r>
              <w:rPr>
                <w:color w:val="000000"/>
                <w:sz w:val="24"/>
              </w:rPr>
              <w:t>156445</w:t>
            </w:r>
          </w:p>
        </w:tc>
        <w:tc>
          <w:tcPr>
            <w:tcW w:w="0" w:type="auto"/>
            <w:vAlign w:val="center"/>
          </w:tcPr>
          <w:p w:rsidR="00091AB5" w:rsidRDefault="0062689C">
            <w:pPr>
              <w:jc w:val="center"/>
            </w:pPr>
            <w:r>
              <w:rPr>
                <w:color w:val="000000"/>
                <w:sz w:val="24"/>
              </w:rPr>
              <w:t>18</w:t>
            </w:r>
            <w:r>
              <w:rPr>
                <w:color w:val="000000"/>
                <w:sz w:val="24"/>
              </w:rPr>
              <w:t>裕源</w:t>
            </w:r>
            <w:r>
              <w:rPr>
                <w:color w:val="000000"/>
                <w:sz w:val="24"/>
              </w:rPr>
              <w:t>02</w:t>
            </w:r>
          </w:p>
        </w:tc>
        <w:tc>
          <w:tcPr>
            <w:tcW w:w="0" w:type="auto"/>
            <w:vAlign w:val="center"/>
          </w:tcPr>
          <w:p w:rsidR="00091AB5" w:rsidRDefault="0062689C">
            <w:pPr>
              <w:jc w:val="right"/>
            </w:pPr>
            <w:r>
              <w:rPr>
                <w:color w:val="000000"/>
                <w:sz w:val="24"/>
              </w:rPr>
              <w:t>100,000</w:t>
            </w:r>
          </w:p>
        </w:tc>
        <w:tc>
          <w:tcPr>
            <w:tcW w:w="0" w:type="auto"/>
            <w:vAlign w:val="center"/>
          </w:tcPr>
          <w:p w:rsidR="00091AB5" w:rsidRDefault="0062689C">
            <w:pPr>
              <w:jc w:val="right"/>
            </w:pPr>
            <w:r>
              <w:rPr>
                <w:color w:val="000000"/>
                <w:sz w:val="24"/>
              </w:rPr>
              <w:t>10,012,000.00</w:t>
            </w:r>
          </w:p>
        </w:tc>
        <w:tc>
          <w:tcPr>
            <w:tcW w:w="0" w:type="auto"/>
            <w:vAlign w:val="center"/>
          </w:tcPr>
          <w:p w:rsidR="00091AB5" w:rsidRDefault="0062689C">
            <w:pPr>
              <w:jc w:val="right"/>
            </w:pPr>
            <w:r>
              <w:rPr>
                <w:color w:val="000000"/>
                <w:sz w:val="24"/>
              </w:rPr>
              <w:t>0.25</w:t>
            </w:r>
          </w:p>
        </w:tc>
      </w:tr>
      <w:tr w:rsidR="00091AB5">
        <w:tc>
          <w:tcPr>
            <w:tcW w:w="0" w:type="auto"/>
            <w:vAlign w:val="center"/>
          </w:tcPr>
          <w:p w:rsidR="00091AB5" w:rsidRDefault="0062689C">
            <w:pPr>
              <w:jc w:val="center"/>
            </w:pPr>
            <w:r>
              <w:rPr>
                <w:color w:val="000000"/>
                <w:sz w:val="24"/>
              </w:rPr>
              <w:t>2</w:t>
            </w:r>
          </w:p>
        </w:tc>
        <w:tc>
          <w:tcPr>
            <w:tcW w:w="0" w:type="auto"/>
            <w:vAlign w:val="center"/>
          </w:tcPr>
          <w:p w:rsidR="00091AB5" w:rsidRDefault="0062689C">
            <w:pPr>
              <w:jc w:val="center"/>
            </w:pPr>
            <w:r>
              <w:rPr>
                <w:color w:val="000000"/>
                <w:sz w:val="24"/>
              </w:rPr>
              <w:t>156636</w:t>
            </w:r>
          </w:p>
        </w:tc>
        <w:tc>
          <w:tcPr>
            <w:tcW w:w="0" w:type="auto"/>
            <w:vAlign w:val="center"/>
          </w:tcPr>
          <w:p w:rsidR="00091AB5" w:rsidRDefault="0062689C">
            <w:pPr>
              <w:jc w:val="center"/>
            </w:pPr>
            <w:r>
              <w:rPr>
                <w:color w:val="000000"/>
                <w:sz w:val="24"/>
              </w:rPr>
              <w:t>19</w:t>
            </w:r>
            <w:r>
              <w:rPr>
                <w:color w:val="000000"/>
                <w:sz w:val="24"/>
              </w:rPr>
              <w:t>裕源</w:t>
            </w:r>
            <w:r>
              <w:rPr>
                <w:color w:val="000000"/>
                <w:sz w:val="24"/>
              </w:rPr>
              <w:t>03</w:t>
            </w:r>
          </w:p>
        </w:tc>
        <w:tc>
          <w:tcPr>
            <w:tcW w:w="0" w:type="auto"/>
            <w:vAlign w:val="center"/>
          </w:tcPr>
          <w:p w:rsidR="00091AB5" w:rsidRDefault="0062689C">
            <w:pPr>
              <w:jc w:val="right"/>
            </w:pPr>
            <w:r>
              <w:rPr>
                <w:color w:val="000000"/>
                <w:sz w:val="24"/>
              </w:rPr>
              <w:t>100,000</w:t>
            </w:r>
          </w:p>
        </w:tc>
        <w:tc>
          <w:tcPr>
            <w:tcW w:w="0" w:type="auto"/>
            <w:vAlign w:val="center"/>
          </w:tcPr>
          <w:p w:rsidR="00091AB5" w:rsidRDefault="0062689C">
            <w:pPr>
              <w:jc w:val="right"/>
            </w:pPr>
            <w:r>
              <w:rPr>
                <w:color w:val="000000"/>
                <w:sz w:val="24"/>
              </w:rPr>
              <w:t>10,012,000.00</w:t>
            </w:r>
          </w:p>
        </w:tc>
        <w:tc>
          <w:tcPr>
            <w:tcW w:w="0" w:type="auto"/>
            <w:vAlign w:val="center"/>
          </w:tcPr>
          <w:p w:rsidR="00091AB5" w:rsidRDefault="0062689C">
            <w:pPr>
              <w:jc w:val="right"/>
            </w:pPr>
            <w:r>
              <w:rPr>
                <w:color w:val="000000"/>
                <w:sz w:val="24"/>
              </w:rPr>
              <w:t>0.25</w:t>
            </w:r>
          </w:p>
        </w:tc>
      </w:tr>
    </w:tbl>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lastRenderedPageBreak/>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本基金本报告期没有投资股票，因此不存在投资的前十名股票超出基金合同规定的备选股票库情况。</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48,642.78</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65,210,082.91</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8,134,852.26</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73,393,577.95</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lastRenderedPageBreak/>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易方达信用债债券</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易方达信用债债券</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2,219,799,760.53</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484,486,696.90</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970,848,660.07</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466,382,268.96</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360,936,324.08</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236,402,691.00</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2,829,712,096.52</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714,466,274.86</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8.1</w:t>
      </w:r>
      <w:r w:rsidRPr="00E8153C">
        <w:rPr>
          <w:color w:val="000000"/>
          <w:kern w:val="0"/>
          <w:sz w:val="24"/>
        </w:rPr>
        <w:t>备查文件目录</w:t>
      </w:r>
    </w:p>
    <w:p w:rsidR="00091AB5" w:rsidRDefault="0062689C">
      <w:pPr>
        <w:spacing w:line="360" w:lineRule="auto"/>
        <w:ind w:firstLineChars="200" w:firstLine="480"/>
        <w:rPr>
          <w:color w:val="000000"/>
          <w:sz w:val="24"/>
        </w:rPr>
      </w:pPr>
      <w:r>
        <w:rPr>
          <w:color w:val="000000"/>
          <w:sz w:val="24"/>
        </w:rPr>
        <w:t>1.</w:t>
      </w:r>
      <w:r>
        <w:rPr>
          <w:color w:val="000000"/>
          <w:sz w:val="24"/>
        </w:rPr>
        <w:t>中国证监会核准易方达信用债债券型证券投资基金募集的文件；</w:t>
      </w:r>
    </w:p>
    <w:p w:rsidR="00091AB5" w:rsidRDefault="0062689C">
      <w:pPr>
        <w:spacing w:line="360" w:lineRule="auto"/>
        <w:ind w:firstLineChars="200" w:firstLine="480"/>
        <w:rPr>
          <w:color w:val="000000"/>
          <w:sz w:val="24"/>
        </w:rPr>
      </w:pPr>
      <w:r>
        <w:rPr>
          <w:color w:val="000000"/>
          <w:sz w:val="24"/>
        </w:rPr>
        <w:t>2.</w:t>
      </w:r>
      <w:r>
        <w:rPr>
          <w:color w:val="000000"/>
          <w:sz w:val="24"/>
        </w:rPr>
        <w:t>《易方达信用债债券型证券投资基金基金合同》；</w:t>
      </w:r>
    </w:p>
    <w:p w:rsidR="00091AB5" w:rsidRDefault="0062689C">
      <w:pPr>
        <w:spacing w:line="360" w:lineRule="auto"/>
        <w:ind w:firstLineChars="200" w:firstLine="480"/>
        <w:rPr>
          <w:color w:val="000000"/>
          <w:sz w:val="24"/>
        </w:rPr>
      </w:pPr>
      <w:r>
        <w:rPr>
          <w:color w:val="000000"/>
          <w:sz w:val="24"/>
        </w:rPr>
        <w:t>3.</w:t>
      </w:r>
      <w:r>
        <w:rPr>
          <w:color w:val="000000"/>
          <w:sz w:val="24"/>
        </w:rPr>
        <w:t>《易方达信用债债券型证券投资基金托管协议》；</w:t>
      </w:r>
    </w:p>
    <w:p w:rsidR="00091AB5" w:rsidRDefault="0062689C">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62689C">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62689C">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62689C">
      <w:rPr>
        <w:rStyle w:val="a7"/>
        <w:noProof/>
      </w:rPr>
      <w:t>12</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易方达信用债债券型证券投资基金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1AB5"/>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2689C"/>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8D833CB-8AAD-45EE-B7F3-64F00DB4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989</Words>
  <Characters>5643</Characters>
  <Application>Microsoft Office Word</Application>
  <DocSecurity>0</DocSecurity>
  <Lines>47</Lines>
  <Paragraphs>13</Paragraphs>
  <ScaleCrop>false</ScaleCrop>
  <Company>TRT. Ltd. Co.</Company>
  <LinksUpToDate>false</LinksUpToDate>
  <CharactersWithSpaces>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2019-10-16T13:53:00Z</cp:lastPrinted>
  <dcterms:created xsi:type="dcterms:W3CDTF">2013-06-21T06:56:00Z</dcterms:created>
  <dcterms:modified xsi:type="dcterms:W3CDTF">2019-10-16T13:53:00Z</dcterms:modified>
</cp:coreProperties>
</file>