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DD" w:rsidRPr="0078105B" w:rsidRDefault="00F016DD" w:rsidP="009A2283">
      <w:pPr>
        <w:autoSpaceDE w:val="0"/>
        <w:autoSpaceDN w:val="0"/>
        <w:adjustRightInd w:val="0"/>
        <w:spacing w:line="360" w:lineRule="auto"/>
        <w:jc w:val="left"/>
        <w:rPr>
          <w:rFonts w:ascii="宋体" w:cs="Arial"/>
          <w:color w:val="000000"/>
          <w:kern w:val="0"/>
          <w:sz w:val="24"/>
        </w:rPr>
      </w:pPr>
      <w:bookmarkStart w:id="0" w:name="_GoBack"/>
      <w:bookmarkEnd w:id="0"/>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易方达纯债1年定期开放债券型证券投资基金</w:t>
      </w: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2019年第3季度报告</w:t>
      </w:r>
    </w:p>
    <w:p w:rsidR="00F016DD" w:rsidRPr="00DA451D" w:rsidRDefault="00F016DD" w:rsidP="00FC13C8">
      <w:pPr>
        <w:spacing w:line="360" w:lineRule="auto"/>
        <w:jc w:val="center"/>
        <w:rPr>
          <w:rFonts w:ascii="宋体" w:hAnsi="宋体"/>
          <w:b/>
          <w:sz w:val="24"/>
        </w:rPr>
      </w:pPr>
      <w:r w:rsidRPr="00DA451D">
        <w:rPr>
          <w:rFonts w:ascii="宋体" w:hAnsi="宋体"/>
          <w:b/>
          <w:sz w:val="24"/>
        </w:rPr>
        <w:t>2019年9月30日</w:t>
      </w: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rPr>
          <w:rFonts w:ascii="宋体"/>
          <w:b/>
          <w:color w:val="000000"/>
          <w:sz w:val="24"/>
        </w:rPr>
      </w:pP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基金管理人：</w:t>
      </w:r>
      <w:r w:rsidRPr="0078105B">
        <w:rPr>
          <w:rFonts w:ascii="宋体" w:hAnsi="宋体"/>
          <w:b/>
          <w:color w:val="000000"/>
          <w:sz w:val="24"/>
        </w:rPr>
        <w:t>易方达基金管理有限公司</w:t>
      </w: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基金托管人：</w:t>
      </w:r>
      <w:r w:rsidRPr="0078105B">
        <w:rPr>
          <w:rFonts w:ascii="宋体" w:hAnsi="宋体"/>
          <w:b/>
          <w:color w:val="000000"/>
          <w:sz w:val="24"/>
        </w:rPr>
        <w:t>中国建设银行股份有限公司</w:t>
      </w:r>
    </w:p>
    <w:p w:rsidR="00F016DD" w:rsidRPr="0078105B" w:rsidRDefault="00F016DD" w:rsidP="00174038">
      <w:pPr>
        <w:spacing w:line="360" w:lineRule="auto"/>
        <w:ind w:firstLineChars="900" w:firstLine="2168"/>
        <w:rPr>
          <w:rFonts w:ascii="宋体"/>
          <w:sz w:val="24"/>
        </w:rPr>
        <w:sectPr w:rsidR="00F016DD" w:rsidRPr="0078105B" w:rsidSect="00F7094A">
          <w:headerReference w:type="default" r:id="rId7"/>
          <w:footerReference w:type="default" r:id="rId8"/>
          <w:pgSz w:w="11926" w:h="15840"/>
          <w:pgMar w:top="1418" w:right="1418" w:bottom="851" w:left="1418" w:header="851" w:footer="992" w:gutter="0"/>
          <w:cols w:space="720"/>
          <w:noEndnote/>
        </w:sectPr>
      </w:pPr>
      <w:r w:rsidRPr="0078105B">
        <w:rPr>
          <w:rFonts w:ascii="宋体" w:hAnsi="宋体" w:hint="eastAsia"/>
          <w:b/>
          <w:color w:val="000000"/>
          <w:sz w:val="24"/>
        </w:rPr>
        <w:t>报告送出日期：</w:t>
      </w:r>
      <w:r w:rsidRPr="0078105B">
        <w:rPr>
          <w:rFonts w:ascii="宋体" w:hAnsi="宋体"/>
          <w:b/>
          <w:color w:val="000000"/>
          <w:sz w:val="24"/>
        </w:rPr>
        <w:t>二〇一九年十月二十四日</w:t>
      </w:r>
    </w:p>
    <w:p w:rsidR="00F016DD" w:rsidRPr="0078105B" w:rsidRDefault="00F016DD" w:rsidP="00B54884">
      <w:pPr>
        <w:pStyle w:val="1"/>
        <w:spacing w:beforeLines="100" w:before="312" w:afterLines="100" w:after="312" w:line="360" w:lineRule="auto"/>
        <w:jc w:val="center"/>
        <w:rPr>
          <w:rFonts w:ascii="宋体" w:cs="Arial"/>
          <w:b w:val="0"/>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1  </w:t>
      </w:r>
      <w:r w:rsidRPr="0078105B">
        <w:rPr>
          <w:rFonts w:ascii="宋体" w:hAnsi="宋体" w:cs="Arial" w:hint="eastAsia"/>
          <w:color w:val="000000"/>
          <w:kern w:val="0"/>
          <w:sz w:val="24"/>
          <w:szCs w:val="24"/>
        </w:rPr>
        <w:t>重要提示</w:t>
      </w:r>
    </w:p>
    <w:p w:rsidR="00DB36E5" w:rsidRDefault="001C67CD">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DB36E5" w:rsidRDefault="001C67CD">
      <w:pPr>
        <w:spacing w:line="360" w:lineRule="auto"/>
        <w:ind w:firstLineChars="200" w:firstLine="480"/>
        <w:rPr>
          <w:color w:val="000000"/>
          <w:sz w:val="24"/>
        </w:rPr>
      </w:pPr>
      <w:r>
        <w:rPr>
          <w:color w:val="000000"/>
          <w:sz w:val="24"/>
        </w:rPr>
        <w:t>基金托管人中国建设银行股份有限公司根据本基金合同规定，于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DB36E5" w:rsidRDefault="001C67CD">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DB36E5" w:rsidRDefault="001C67CD">
      <w:pPr>
        <w:spacing w:line="360" w:lineRule="auto"/>
        <w:ind w:firstLineChars="200" w:firstLine="480"/>
        <w:rPr>
          <w:color w:val="000000"/>
          <w:sz w:val="24"/>
        </w:rPr>
      </w:pPr>
      <w:r>
        <w:rPr>
          <w:color w:val="000000"/>
          <w:sz w:val="24"/>
        </w:rPr>
        <w:t>基金的过往业绩并不代表其未来表现。投资有风</w:t>
      </w:r>
      <w:r>
        <w:rPr>
          <w:color w:val="000000"/>
          <w:sz w:val="24"/>
        </w:rPr>
        <w:t>险，投资者在作出投资决策前应仔细阅读本基金的招募说明书。</w:t>
      </w:r>
      <w:r>
        <w:rPr>
          <w:color w:val="000000"/>
          <w:sz w:val="24"/>
        </w:rPr>
        <w:t xml:space="preserve"> </w:t>
      </w:r>
    </w:p>
    <w:p w:rsidR="00DB36E5" w:rsidRDefault="001C67CD">
      <w:pPr>
        <w:spacing w:line="360" w:lineRule="auto"/>
        <w:ind w:firstLineChars="200" w:firstLine="480"/>
        <w:rPr>
          <w:color w:val="000000"/>
          <w:sz w:val="24"/>
        </w:rPr>
      </w:pPr>
      <w:r>
        <w:rPr>
          <w:color w:val="000000"/>
          <w:sz w:val="24"/>
        </w:rPr>
        <w:t>本报告中财务资料未经审计。</w:t>
      </w:r>
    </w:p>
    <w:p w:rsidR="00F016DD" w:rsidRPr="00C30CFF" w:rsidRDefault="00F016DD" w:rsidP="00C30CFF">
      <w:pPr>
        <w:spacing w:line="360" w:lineRule="auto"/>
        <w:ind w:firstLineChars="200" w:firstLine="480"/>
        <w:rPr>
          <w:color w:val="000000"/>
          <w:sz w:val="24"/>
        </w:rPr>
      </w:pPr>
      <w:r w:rsidRPr="00C30CFF">
        <w:rPr>
          <w:color w:val="000000"/>
          <w:sz w:val="24"/>
        </w:rPr>
        <w:t>本报告期自</w:t>
      </w:r>
      <w:r w:rsidRPr="00C30CFF">
        <w:rPr>
          <w:color w:val="000000"/>
          <w:sz w:val="24"/>
        </w:rPr>
        <w:t>2019</w:t>
      </w:r>
      <w:r w:rsidRPr="00C30CFF">
        <w:rPr>
          <w:color w:val="000000"/>
          <w:sz w:val="24"/>
        </w:rPr>
        <w:t>年</w:t>
      </w:r>
      <w:r w:rsidRPr="00C30CFF">
        <w:rPr>
          <w:color w:val="000000"/>
          <w:sz w:val="24"/>
        </w:rPr>
        <w:t>7</w:t>
      </w:r>
      <w:r w:rsidRPr="00C30CFF">
        <w:rPr>
          <w:color w:val="000000"/>
          <w:sz w:val="24"/>
        </w:rPr>
        <w:t>月</w:t>
      </w:r>
      <w:r w:rsidRPr="00C30CFF">
        <w:rPr>
          <w:color w:val="000000"/>
          <w:sz w:val="24"/>
        </w:rPr>
        <w:t>1</w:t>
      </w:r>
      <w:r w:rsidRPr="00C30CFF">
        <w:rPr>
          <w:color w:val="000000"/>
          <w:sz w:val="24"/>
        </w:rPr>
        <w:t>日起至</w:t>
      </w:r>
      <w:r w:rsidRPr="00C30CFF">
        <w:rPr>
          <w:color w:val="000000"/>
          <w:sz w:val="24"/>
        </w:rPr>
        <w:t>9</w:t>
      </w:r>
      <w:r w:rsidRPr="00C30CFF">
        <w:rPr>
          <w:color w:val="000000"/>
          <w:sz w:val="24"/>
        </w:rPr>
        <w:t>月</w:t>
      </w:r>
      <w:r w:rsidRPr="00C30CFF">
        <w:rPr>
          <w:color w:val="000000"/>
          <w:sz w:val="24"/>
        </w:rPr>
        <w:t>30</w:t>
      </w:r>
      <w:r w:rsidRPr="00C30CFF">
        <w:rPr>
          <w:color w:val="000000"/>
          <w:sz w:val="24"/>
        </w:rPr>
        <w:t>日止。</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2  </w:t>
      </w:r>
      <w:r w:rsidRPr="0078105B">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90"/>
      </w:tblGrid>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基金简称</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易方达纯债</w:t>
            </w:r>
            <w:r w:rsidRPr="00C30CFF">
              <w:rPr>
                <w:color w:val="000000"/>
                <w:kern w:val="0"/>
                <w:sz w:val="24"/>
              </w:rPr>
              <w:t>1</w:t>
            </w:r>
            <w:r w:rsidRPr="00C30CFF">
              <w:rPr>
                <w:color w:val="000000"/>
                <w:kern w:val="0"/>
                <w:sz w:val="24"/>
              </w:rPr>
              <w:t>年定期开放债券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基金主代码</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000111</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基金运作方式</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契约型开放式</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基金合同生效日</w:t>
            </w:r>
          </w:p>
        </w:tc>
        <w:tc>
          <w:tcPr>
            <w:tcW w:w="5529" w:type="dxa"/>
            <w:gridSpan w:val="2"/>
          </w:tcPr>
          <w:p w:rsidR="00F016DD" w:rsidRPr="00C30CFF" w:rsidRDefault="00F016DD" w:rsidP="00121533">
            <w:pPr>
              <w:adjustRightInd w:val="0"/>
              <w:spacing w:before="29" w:line="360" w:lineRule="auto"/>
              <w:ind w:left="17"/>
              <w:jc w:val="left"/>
              <w:rPr>
                <w:color w:val="000000"/>
                <w:kern w:val="0"/>
                <w:sz w:val="24"/>
              </w:rPr>
            </w:pPr>
            <w:r w:rsidRPr="00C30CFF">
              <w:rPr>
                <w:color w:val="000000"/>
                <w:kern w:val="0"/>
                <w:sz w:val="24"/>
              </w:rPr>
              <w:t>2013</w:t>
            </w:r>
            <w:r w:rsidRPr="00C30CFF">
              <w:rPr>
                <w:color w:val="000000"/>
                <w:kern w:val="0"/>
                <w:sz w:val="24"/>
              </w:rPr>
              <w:t>年</w:t>
            </w:r>
            <w:r w:rsidRPr="00C30CFF">
              <w:rPr>
                <w:color w:val="000000"/>
                <w:kern w:val="0"/>
                <w:sz w:val="24"/>
              </w:rPr>
              <w:t>7</w:t>
            </w:r>
            <w:r w:rsidRPr="00C30CFF">
              <w:rPr>
                <w:color w:val="000000"/>
                <w:kern w:val="0"/>
                <w:sz w:val="24"/>
              </w:rPr>
              <w:t>月</w:t>
            </w:r>
            <w:r w:rsidRPr="00C30CFF">
              <w:rPr>
                <w:color w:val="000000"/>
                <w:kern w:val="0"/>
                <w:sz w:val="24"/>
              </w:rPr>
              <w:t>30</w:t>
            </w:r>
            <w:r w:rsidRPr="00C30CFF">
              <w:rPr>
                <w:color w:val="000000"/>
                <w:kern w:val="0"/>
                <w:sz w:val="24"/>
              </w:rPr>
              <w:t>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报告期末基金份额总额</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1,933,236,257.25</w:t>
            </w:r>
            <w:r w:rsidRPr="00C30CFF">
              <w:rPr>
                <w:color w:val="000000"/>
                <w:kern w:val="0"/>
                <w:sz w:val="24"/>
              </w:rPr>
              <w:t>份</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投资目标</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本基金投资目标是在追求本金安全的基础上，力争为基金份额持有人创造超越业绩比较基准的稳定收益。</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投资策略</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在封闭期与开放期采取不同的投资策略。封闭期内，在投资组合平均久期与封闭运作期适当匹配的基础上，本基金将密切关注宏观经济走势，采取自上而下分析方法，预测未来利率走势和收益率曲线变动情况，确定资产的最优配置比例及久期配</w:t>
            </w:r>
            <w:r w:rsidRPr="00C30CFF">
              <w:rPr>
                <w:color w:val="000000"/>
                <w:kern w:val="0"/>
                <w:sz w:val="24"/>
              </w:rPr>
              <w:lastRenderedPageBreak/>
              <w:t>置策略。对于信用类固定收益品种，本基金在进行信用风险评估后，积极发掘信用利差具有相对投资机会的个券进行投资，并采取分散化投资策略。开放运作期内，本基金为保持较高的组合流动性，方便投资人安排投资，在遵守本基金有关投资限制与投资比例的前提下，将主要投资于高流动性的投资品种，减小基金净值的波动。</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lastRenderedPageBreak/>
              <w:t>业绩比较基准</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中国人民银行公布的一年期银行定期整存整取存款利率（税后）</w:t>
            </w:r>
            <w:r w:rsidRPr="00C30CFF">
              <w:rPr>
                <w:color w:val="000000"/>
                <w:kern w:val="0"/>
                <w:sz w:val="24"/>
              </w:rPr>
              <w:t>+1%</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风险收益特征</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本基金为债券型基金，其长期平均风险和预期收益率理论上低于股票型基金、混合型基金，高于货币市场基金。</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基金管理人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易方达基金管理有限公司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基金托管人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中国建设银行股份有限公司</w:t>
            </w:r>
          </w:p>
        </w:tc>
      </w:tr>
      <w:tr w:rsidR="00F016DD" w:rsidRPr="0078105B" w:rsidTr="00414367">
        <w:tc>
          <w:tcPr>
            <w:tcW w:w="2835" w:type="dxa"/>
          </w:tcPr>
          <w:p w:rsidR="00F016DD" w:rsidRPr="00C30CFF" w:rsidRDefault="00F016DD" w:rsidP="003F13CD">
            <w:pPr>
              <w:adjustRightInd w:val="0"/>
              <w:spacing w:before="29" w:line="360" w:lineRule="auto"/>
              <w:ind w:left="17"/>
              <w:jc w:val="left"/>
              <w:rPr>
                <w:kern w:val="0"/>
                <w:sz w:val="24"/>
              </w:rPr>
            </w:pPr>
            <w:r w:rsidRPr="00C30CFF">
              <w:rPr>
                <w:color w:val="000000"/>
                <w:sz w:val="24"/>
              </w:rPr>
              <w:t>下属</w:t>
            </w:r>
            <w:r w:rsidR="003F13CD" w:rsidRPr="00C30CFF">
              <w:rPr>
                <w:color w:val="000000"/>
                <w:sz w:val="24"/>
              </w:rPr>
              <w:t>分</w:t>
            </w:r>
            <w:r w:rsidRPr="00C30CFF">
              <w:rPr>
                <w:color w:val="000000"/>
                <w:sz w:val="24"/>
              </w:rPr>
              <w:t>级基金的基金简称</w:t>
            </w:r>
          </w:p>
        </w:tc>
        <w:tc>
          <w:tcPr>
            <w:tcW w:w="2739" w:type="dxa"/>
            <w:vAlign w:val="center"/>
          </w:tcPr>
          <w:p w:rsidR="00F016DD" w:rsidRPr="00C30CFF" w:rsidRDefault="00F016DD" w:rsidP="00950413">
            <w:pPr>
              <w:jc w:val="left"/>
              <w:rPr>
                <w:sz w:val="24"/>
              </w:rPr>
            </w:pPr>
            <w:r w:rsidRPr="00C30CFF">
              <w:rPr>
                <w:sz w:val="24"/>
              </w:rPr>
              <w:t>易方达纯债</w:t>
            </w:r>
            <w:r w:rsidRPr="00C30CFF">
              <w:rPr>
                <w:sz w:val="24"/>
              </w:rPr>
              <w:t>1</w:t>
            </w:r>
            <w:r w:rsidRPr="00C30CFF">
              <w:rPr>
                <w:sz w:val="24"/>
              </w:rPr>
              <w:t>年定期开放债券</w:t>
            </w:r>
            <w:r w:rsidRPr="00C30CFF">
              <w:rPr>
                <w:sz w:val="24"/>
              </w:rPr>
              <w:t>A</w:t>
            </w:r>
          </w:p>
        </w:tc>
        <w:tc>
          <w:tcPr>
            <w:tcW w:w="2790" w:type="dxa"/>
            <w:vAlign w:val="center"/>
          </w:tcPr>
          <w:p w:rsidR="00F016DD" w:rsidRPr="00C30CFF" w:rsidRDefault="00F016DD" w:rsidP="00950413">
            <w:pPr>
              <w:jc w:val="left"/>
              <w:rPr>
                <w:sz w:val="24"/>
              </w:rPr>
            </w:pPr>
            <w:r w:rsidRPr="00C30CFF">
              <w:rPr>
                <w:sz w:val="24"/>
              </w:rPr>
              <w:t>易方达纯债</w:t>
            </w:r>
            <w:r w:rsidRPr="00C30CFF">
              <w:rPr>
                <w:sz w:val="24"/>
              </w:rPr>
              <w:t>1</w:t>
            </w:r>
            <w:r w:rsidRPr="00C30CFF">
              <w:rPr>
                <w:sz w:val="24"/>
              </w:rPr>
              <w:t>年定期开放债券</w:t>
            </w:r>
            <w:r w:rsidRPr="00C30CFF">
              <w:rPr>
                <w:sz w:val="24"/>
              </w:rPr>
              <w:t>C</w:t>
            </w:r>
          </w:p>
        </w:tc>
      </w:tr>
      <w:tr w:rsidR="00F016DD" w:rsidRPr="004D29A9" w:rsidTr="00414367">
        <w:tc>
          <w:tcPr>
            <w:tcW w:w="2835" w:type="dxa"/>
          </w:tcPr>
          <w:p w:rsidR="00F016DD" w:rsidRPr="00C30CFF" w:rsidRDefault="00F016DD" w:rsidP="003F13CD">
            <w:pPr>
              <w:adjustRightInd w:val="0"/>
              <w:spacing w:before="29" w:line="360" w:lineRule="auto"/>
              <w:ind w:left="17"/>
              <w:jc w:val="left"/>
              <w:rPr>
                <w:color w:val="000000"/>
                <w:sz w:val="24"/>
              </w:rPr>
            </w:pPr>
            <w:r w:rsidRPr="00C30CFF">
              <w:rPr>
                <w:color w:val="000000"/>
                <w:sz w:val="24"/>
              </w:rPr>
              <w:t>下属</w:t>
            </w:r>
            <w:r w:rsidR="003F13CD" w:rsidRPr="00C30CFF">
              <w:rPr>
                <w:color w:val="000000"/>
                <w:sz w:val="24"/>
              </w:rPr>
              <w:t>分</w:t>
            </w:r>
            <w:r w:rsidRPr="00C30CFF">
              <w:rPr>
                <w:color w:val="000000"/>
                <w:sz w:val="24"/>
              </w:rPr>
              <w:t>级基金的交易代码</w:t>
            </w:r>
          </w:p>
        </w:tc>
        <w:tc>
          <w:tcPr>
            <w:tcW w:w="2739" w:type="dxa"/>
            <w:vAlign w:val="center"/>
          </w:tcPr>
          <w:p w:rsidR="00F016DD" w:rsidRPr="00C30CFF" w:rsidRDefault="00F016DD" w:rsidP="00950413">
            <w:pPr>
              <w:jc w:val="left"/>
              <w:rPr>
                <w:color w:val="000000"/>
                <w:sz w:val="24"/>
              </w:rPr>
            </w:pPr>
            <w:r w:rsidRPr="00C30CFF">
              <w:rPr>
                <w:color w:val="000000"/>
                <w:sz w:val="24"/>
              </w:rPr>
              <w:t>000111</w:t>
            </w:r>
          </w:p>
        </w:tc>
        <w:tc>
          <w:tcPr>
            <w:tcW w:w="2790" w:type="dxa"/>
            <w:vAlign w:val="center"/>
          </w:tcPr>
          <w:p w:rsidR="00F016DD" w:rsidRPr="00C30CFF" w:rsidRDefault="00F016DD" w:rsidP="00950413">
            <w:pPr>
              <w:jc w:val="left"/>
              <w:rPr>
                <w:color w:val="000000"/>
                <w:sz w:val="24"/>
              </w:rPr>
            </w:pPr>
            <w:r w:rsidRPr="00C30CFF">
              <w:rPr>
                <w:color w:val="000000"/>
                <w:sz w:val="24"/>
              </w:rPr>
              <w:t>000112</w:t>
            </w:r>
          </w:p>
        </w:tc>
      </w:tr>
      <w:tr w:rsidR="00F016DD" w:rsidRPr="0078105B" w:rsidTr="00414367">
        <w:tc>
          <w:tcPr>
            <w:tcW w:w="2835" w:type="dxa"/>
          </w:tcPr>
          <w:p w:rsidR="00F016DD" w:rsidRPr="00C30CFF" w:rsidRDefault="00F016DD" w:rsidP="00162D92">
            <w:pPr>
              <w:adjustRightInd w:val="0"/>
              <w:spacing w:before="29" w:line="360" w:lineRule="auto"/>
              <w:ind w:left="17"/>
              <w:jc w:val="left"/>
              <w:rPr>
                <w:color w:val="000000"/>
                <w:sz w:val="24"/>
              </w:rPr>
            </w:pPr>
            <w:r w:rsidRPr="00C30CFF">
              <w:rPr>
                <w:color w:val="000000"/>
                <w:sz w:val="24"/>
              </w:rPr>
              <w:t>报告期末下属</w:t>
            </w:r>
            <w:r w:rsidR="00162D92" w:rsidRPr="00C30CFF">
              <w:rPr>
                <w:color w:val="000000"/>
                <w:sz w:val="24"/>
              </w:rPr>
              <w:t>分</w:t>
            </w:r>
            <w:r w:rsidRPr="00C30CFF">
              <w:rPr>
                <w:color w:val="000000"/>
                <w:sz w:val="24"/>
              </w:rPr>
              <w:t>级基金的份额总额</w:t>
            </w:r>
          </w:p>
        </w:tc>
        <w:tc>
          <w:tcPr>
            <w:tcW w:w="2739" w:type="dxa"/>
            <w:vAlign w:val="center"/>
          </w:tcPr>
          <w:p w:rsidR="00F016DD" w:rsidRPr="00C30CFF" w:rsidRDefault="00F016DD" w:rsidP="00950413">
            <w:pPr>
              <w:jc w:val="left"/>
              <w:rPr>
                <w:sz w:val="24"/>
              </w:rPr>
            </w:pPr>
            <w:r w:rsidRPr="00C30CFF">
              <w:rPr>
                <w:sz w:val="24"/>
              </w:rPr>
              <w:t>1,917,708,372.77</w:t>
            </w:r>
            <w:r w:rsidRPr="00C30CFF">
              <w:rPr>
                <w:color w:val="000000"/>
                <w:kern w:val="0"/>
                <w:sz w:val="24"/>
              </w:rPr>
              <w:t>份</w:t>
            </w:r>
          </w:p>
        </w:tc>
        <w:tc>
          <w:tcPr>
            <w:tcW w:w="2790" w:type="dxa"/>
            <w:vAlign w:val="center"/>
          </w:tcPr>
          <w:p w:rsidR="00F016DD" w:rsidRPr="00C30CFF" w:rsidRDefault="00F016DD" w:rsidP="00950413">
            <w:pPr>
              <w:jc w:val="left"/>
              <w:rPr>
                <w:sz w:val="24"/>
              </w:rPr>
            </w:pPr>
            <w:r w:rsidRPr="00C30CFF">
              <w:rPr>
                <w:sz w:val="24"/>
              </w:rPr>
              <w:t>15,527,884.48</w:t>
            </w:r>
            <w:r w:rsidRPr="00C30CFF">
              <w:rPr>
                <w:color w:val="000000"/>
                <w:kern w:val="0"/>
                <w:sz w:val="24"/>
              </w:rPr>
              <w:t>份</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3  </w:t>
      </w:r>
      <w:r w:rsidRPr="0078105B">
        <w:rPr>
          <w:rFonts w:ascii="宋体" w:hAnsi="宋体" w:cs="Arial" w:hint="eastAsia"/>
          <w:color w:val="000000"/>
          <w:kern w:val="0"/>
          <w:sz w:val="24"/>
          <w:szCs w:val="24"/>
        </w:rPr>
        <w:t>主要财务指标和基金净值表现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3.1 </w:t>
      </w:r>
      <w:r w:rsidRPr="0078105B">
        <w:rPr>
          <w:rFonts w:ascii="宋体" w:hAnsi="宋体" w:cs="Arial" w:hint="eastAsia"/>
          <w:b/>
          <w:color w:val="000000"/>
          <w:kern w:val="0"/>
          <w:sz w:val="24"/>
        </w:rPr>
        <w:t>主要财务指标</w:t>
      </w:r>
    </w:p>
    <w:p w:rsidR="00F016DD" w:rsidRPr="00FA472B" w:rsidRDefault="00F016DD" w:rsidP="00E27360">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F016DD" w:rsidRPr="00FA472B" w:rsidTr="008B5312">
        <w:tc>
          <w:tcPr>
            <w:tcW w:w="3402" w:type="dxa"/>
            <w:vMerge w:val="restart"/>
            <w:vAlign w:val="center"/>
          </w:tcPr>
          <w:p w:rsidR="00F016DD" w:rsidRPr="00FA472B" w:rsidRDefault="00F016DD" w:rsidP="00E205AA">
            <w:pPr>
              <w:adjustRightInd w:val="0"/>
              <w:spacing w:before="29" w:line="360" w:lineRule="auto"/>
              <w:ind w:left="17"/>
              <w:jc w:val="center"/>
              <w:rPr>
                <w:kern w:val="0"/>
                <w:sz w:val="24"/>
              </w:rPr>
            </w:pPr>
            <w:r w:rsidRPr="00FA472B">
              <w:rPr>
                <w:kern w:val="0"/>
                <w:sz w:val="24"/>
              </w:rPr>
              <w:t>主要财务指标</w:t>
            </w:r>
          </w:p>
        </w:tc>
        <w:tc>
          <w:tcPr>
            <w:tcW w:w="4962" w:type="dxa"/>
            <w:gridSpan w:val="2"/>
            <w:vAlign w:val="center"/>
          </w:tcPr>
          <w:p w:rsidR="00F016DD" w:rsidRPr="00FA472B" w:rsidRDefault="00F016DD" w:rsidP="00E205AA">
            <w:pPr>
              <w:adjustRightInd w:val="0"/>
              <w:spacing w:before="29" w:line="360" w:lineRule="auto"/>
              <w:ind w:left="17"/>
              <w:jc w:val="center"/>
              <w:rPr>
                <w:color w:val="000000"/>
                <w:sz w:val="24"/>
              </w:rPr>
            </w:pPr>
            <w:r w:rsidRPr="00FA472B">
              <w:rPr>
                <w:color w:val="000000"/>
                <w:sz w:val="24"/>
              </w:rPr>
              <w:t>报告期</w:t>
            </w:r>
          </w:p>
          <w:p w:rsidR="00F016DD" w:rsidRPr="00FA472B" w:rsidRDefault="00F016DD" w:rsidP="00E205AA">
            <w:pPr>
              <w:adjustRightInd w:val="0"/>
              <w:spacing w:before="29" w:line="360" w:lineRule="auto"/>
              <w:ind w:left="17"/>
              <w:jc w:val="center"/>
              <w:rPr>
                <w:color w:val="000000"/>
                <w:sz w:val="24"/>
              </w:rPr>
            </w:pPr>
            <w:r w:rsidRPr="00FA472B">
              <w:rPr>
                <w:color w:val="000000"/>
                <w:sz w:val="24"/>
              </w:rPr>
              <w:t>(2019</w:t>
            </w:r>
            <w:r w:rsidRPr="00FA472B">
              <w:rPr>
                <w:color w:val="000000"/>
                <w:sz w:val="24"/>
              </w:rPr>
              <w:t>年</w:t>
            </w:r>
            <w:r w:rsidRPr="00FA472B">
              <w:rPr>
                <w:color w:val="000000"/>
                <w:sz w:val="24"/>
              </w:rPr>
              <w:t>7</w:t>
            </w:r>
            <w:r w:rsidRPr="00FA472B">
              <w:rPr>
                <w:color w:val="000000"/>
                <w:sz w:val="24"/>
              </w:rPr>
              <w:t>月</w:t>
            </w:r>
            <w:r w:rsidRPr="00FA472B">
              <w:rPr>
                <w:color w:val="000000"/>
                <w:sz w:val="24"/>
              </w:rPr>
              <w:t>1</w:t>
            </w:r>
            <w:r w:rsidRPr="00FA472B">
              <w:rPr>
                <w:color w:val="000000"/>
                <w:sz w:val="24"/>
              </w:rPr>
              <w:t>日</w:t>
            </w:r>
            <w:r w:rsidRPr="00FA472B">
              <w:rPr>
                <w:color w:val="000000"/>
                <w:sz w:val="24"/>
              </w:rPr>
              <w:t>-2019</w:t>
            </w:r>
            <w:r w:rsidRPr="00FA472B">
              <w:rPr>
                <w:color w:val="000000"/>
                <w:sz w:val="24"/>
              </w:rPr>
              <w:t>年</w:t>
            </w:r>
            <w:r w:rsidRPr="00FA472B">
              <w:rPr>
                <w:color w:val="000000"/>
                <w:sz w:val="24"/>
              </w:rPr>
              <w:t>9</w:t>
            </w:r>
            <w:r w:rsidRPr="00FA472B">
              <w:rPr>
                <w:color w:val="000000"/>
                <w:sz w:val="24"/>
              </w:rPr>
              <w:t>月</w:t>
            </w:r>
            <w:r w:rsidRPr="00FA472B">
              <w:rPr>
                <w:color w:val="000000"/>
                <w:sz w:val="24"/>
              </w:rPr>
              <w:t>30</w:t>
            </w:r>
            <w:r w:rsidRPr="00FA472B">
              <w:rPr>
                <w:color w:val="000000"/>
                <w:sz w:val="24"/>
              </w:rPr>
              <w:t>日</w:t>
            </w:r>
            <w:r w:rsidRPr="00FA472B">
              <w:rPr>
                <w:color w:val="000000"/>
                <w:sz w:val="24"/>
              </w:rPr>
              <w:t>)</w:t>
            </w:r>
          </w:p>
        </w:tc>
      </w:tr>
      <w:tr w:rsidR="00F016DD" w:rsidRPr="00FA472B" w:rsidTr="008B5312">
        <w:tc>
          <w:tcPr>
            <w:tcW w:w="3402" w:type="dxa"/>
            <w:vMerge/>
            <w:vAlign w:val="center"/>
          </w:tcPr>
          <w:p w:rsidR="00F016DD" w:rsidRPr="00FA472B" w:rsidRDefault="00F016DD" w:rsidP="00E205AA">
            <w:pPr>
              <w:adjustRightInd w:val="0"/>
              <w:spacing w:before="29" w:line="360" w:lineRule="auto"/>
              <w:ind w:left="17"/>
              <w:jc w:val="center"/>
              <w:rPr>
                <w:kern w:val="0"/>
                <w:sz w:val="24"/>
              </w:rPr>
            </w:pP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易方达纯债</w:t>
            </w:r>
            <w:r w:rsidRPr="00FA472B">
              <w:rPr>
                <w:sz w:val="24"/>
              </w:rPr>
              <w:t>1</w:t>
            </w:r>
            <w:r w:rsidRPr="00FA472B">
              <w:rPr>
                <w:sz w:val="24"/>
              </w:rPr>
              <w:t>年定期开放债券</w:t>
            </w:r>
            <w:r w:rsidRPr="00FA472B">
              <w:rPr>
                <w:sz w:val="24"/>
              </w:rPr>
              <w:t>A</w:t>
            </w: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易方达纯债</w:t>
            </w:r>
            <w:r w:rsidRPr="00FA472B">
              <w:rPr>
                <w:sz w:val="24"/>
              </w:rPr>
              <w:t>1</w:t>
            </w:r>
            <w:r w:rsidRPr="00FA472B">
              <w:rPr>
                <w:sz w:val="24"/>
              </w:rPr>
              <w:t>年定期开放债券</w:t>
            </w:r>
            <w:r w:rsidRPr="00FA472B">
              <w:rPr>
                <w:sz w:val="24"/>
              </w:rPr>
              <w:t>C</w:t>
            </w:r>
          </w:p>
        </w:tc>
      </w:tr>
      <w:tr w:rsidR="00F016DD" w:rsidRPr="00FA472B" w:rsidTr="00973B57">
        <w:tc>
          <w:tcPr>
            <w:tcW w:w="3402" w:type="dxa"/>
          </w:tcPr>
          <w:p w:rsidR="00F016DD" w:rsidRPr="00FA472B" w:rsidRDefault="00F016DD" w:rsidP="00973B57">
            <w:pPr>
              <w:adjustRightInd w:val="0"/>
              <w:spacing w:before="29" w:line="360" w:lineRule="auto"/>
              <w:ind w:left="17"/>
              <w:rPr>
                <w:kern w:val="0"/>
                <w:sz w:val="24"/>
              </w:rPr>
            </w:pPr>
            <w:r w:rsidRPr="00FA472B">
              <w:rPr>
                <w:kern w:val="0"/>
                <w:sz w:val="24"/>
              </w:rPr>
              <w:lastRenderedPageBreak/>
              <w:t>1.</w:t>
            </w:r>
            <w:r w:rsidRPr="00FA472B">
              <w:rPr>
                <w:kern w:val="0"/>
                <w:sz w:val="24"/>
              </w:rPr>
              <w:t>本期已实现收益</w:t>
            </w:r>
          </w:p>
        </w:tc>
        <w:tc>
          <w:tcPr>
            <w:tcW w:w="2481" w:type="dxa"/>
            <w:vAlign w:val="bottom"/>
          </w:tcPr>
          <w:p w:rsidR="00F016DD" w:rsidRPr="00FA472B" w:rsidRDefault="00F016DD" w:rsidP="00973B57">
            <w:pPr>
              <w:adjustRightInd w:val="0"/>
              <w:spacing w:before="29" w:line="360" w:lineRule="auto"/>
              <w:ind w:left="17"/>
              <w:jc w:val="right"/>
              <w:rPr>
                <w:color w:val="000000"/>
                <w:sz w:val="24"/>
              </w:rPr>
            </w:pPr>
            <w:r w:rsidRPr="00FA472B">
              <w:rPr>
                <w:color w:val="000000"/>
                <w:sz w:val="24"/>
              </w:rPr>
              <w:t>16,623,195.90</w:t>
            </w:r>
          </w:p>
        </w:tc>
        <w:tc>
          <w:tcPr>
            <w:tcW w:w="2481" w:type="dxa"/>
            <w:vAlign w:val="bottom"/>
          </w:tcPr>
          <w:p w:rsidR="00F016DD" w:rsidRPr="00FA472B" w:rsidRDefault="00F016DD" w:rsidP="0037768B">
            <w:pPr>
              <w:adjustRightInd w:val="0"/>
              <w:spacing w:before="29" w:line="360" w:lineRule="auto"/>
              <w:ind w:left="17"/>
              <w:jc w:val="right"/>
              <w:rPr>
                <w:color w:val="000000"/>
                <w:sz w:val="24"/>
              </w:rPr>
            </w:pPr>
            <w:r w:rsidRPr="00FA472B">
              <w:rPr>
                <w:color w:val="000000"/>
                <w:sz w:val="24"/>
              </w:rPr>
              <w:t>149,508.57</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2.</w:t>
            </w:r>
            <w:r w:rsidRPr="00FA472B">
              <w:rPr>
                <w:kern w:val="0"/>
                <w:sz w:val="24"/>
              </w:rPr>
              <w:t>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13,506,798.85</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131,394.62</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3.</w:t>
            </w:r>
            <w:r w:rsidRPr="00FA472B">
              <w:rPr>
                <w:kern w:val="0"/>
                <w:sz w:val="24"/>
              </w:rPr>
              <w:t>加权平均基金份额本期利润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0.0087</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0.0087</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4.</w:t>
            </w:r>
            <w:r w:rsidRPr="00FA472B">
              <w:rPr>
                <w:kern w:val="0"/>
                <w:sz w:val="24"/>
              </w:rPr>
              <w:t>期末基金资产净值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1,988,349,560.96</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16,073,645.54</w:t>
            </w:r>
          </w:p>
        </w:tc>
      </w:tr>
      <w:tr w:rsidR="00F016DD" w:rsidRPr="00FA472B" w:rsidTr="009A5C1D">
        <w:trPr>
          <w:trHeight w:val="158"/>
        </w:trPr>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5.</w:t>
            </w:r>
            <w:r w:rsidRPr="00FA472B">
              <w:rPr>
                <w:kern w:val="0"/>
                <w:sz w:val="24"/>
              </w:rPr>
              <w:t>期末基金份额净值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1.037</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1.035</w:t>
            </w:r>
          </w:p>
        </w:tc>
      </w:tr>
    </w:tbl>
    <w:p w:rsidR="00DB36E5" w:rsidRDefault="001C67CD">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F016DD" w:rsidRPr="00C30CFF" w:rsidRDefault="00F016DD" w:rsidP="00C30CFF">
      <w:pPr>
        <w:spacing w:line="360" w:lineRule="auto"/>
        <w:ind w:firstLineChars="200" w:firstLine="480"/>
        <w:rPr>
          <w:color w:val="000000"/>
          <w:sz w:val="24"/>
        </w:rPr>
      </w:pPr>
      <w:r w:rsidRPr="00C30CFF">
        <w:rPr>
          <w:color w:val="000000"/>
          <w:sz w:val="24"/>
        </w:rPr>
        <w:t>2.</w:t>
      </w:r>
      <w:r w:rsidRPr="00C30CFF">
        <w:rPr>
          <w:color w:val="000000"/>
          <w:sz w:val="24"/>
        </w:rPr>
        <w:t>本期已实现收益指基金本期利息收入、投资收益、其他收入（不含公允价值变动收益）扣除相关费用后的余额，本期利润为本期已实现收益加上本期公允价值变动收益。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3.2 </w:t>
      </w:r>
      <w:r w:rsidRPr="0078105B">
        <w:rPr>
          <w:rFonts w:ascii="宋体" w:hAnsi="宋体" w:cs="Arial" w:hint="eastAsia"/>
          <w:b/>
          <w:color w:val="000000"/>
          <w:kern w:val="0"/>
          <w:sz w:val="24"/>
        </w:rPr>
        <w:t>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3.2.1</w:t>
      </w:r>
      <w:r w:rsidRPr="0078105B">
        <w:rPr>
          <w:rFonts w:ascii="宋体" w:hAnsi="宋体" w:cs="Arial" w:hint="eastAsia"/>
          <w:b/>
          <w:color w:val="000000"/>
          <w:kern w:val="0"/>
          <w:sz w:val="24"/>
        </w:rPr>
        <w:t>本报告期基金份额净值增长率及其与同期业绩比较基准收益率的比较</w:t>
      </w:r>
    </w:p>
    <w:p w:rsidR="00F016DD" w:rsidRPr="0078105B" w:rsidRDefault="00F016DD" w:rsidP="00174038">
      <w:pPr>
        <w:spacing w:line="360" w:lineRule="auto"/>
        <w:ind w:firstLineChars="150" w:firstLine="361"/>
        <w:rPr>
          <w:rFonts w:ascii="宋体"/>
          <w:b/>
          <w:sz w:val="24"/>
        </w:rPr>
      </w:pPr>
      <w:r w:rsidRPr="0078105B">
        <w:rPr>
          <w:rFonts w:ascii="宋体" w:hAnsi="宋体" w:cs="Arial"/>
          <w:b/>
          <w:color w:val="000000"/>
          <w:kern w:val="0"/>
          <w:sz w:val="24"/>
        </w:rPr>
        <w:t>易方达纯债1年定期开放债券A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414367">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DB36E5">
        <w:tc>
          <w:tcPr>
            <w:tcW w:w="1290" w:type="dxa"/>
            <w:vAlign w:val="center"/>
          </w:tcPr>
          <w:p w:rsidR="00DB36E5" w:rsidRDefault="001C67CD">
            <w:pPr>
              <w:jc w:val="left"/>
            </w:pPr>
            <w:r>
              <w:rPr>
                <w:color w:val="000000"/>
                <w:sz w:val="24"/>
              </w:rPr>
              <w:t>过去三个月</w:t>
            </w:r>
          </w:p>
        </w:tc>
        <w:tc>
          <w:tcPr>
            <w:tcW w:w="1291" w:type="dxa"/>
            <w:vAlign w:val="center"/>
          </w:tcPr>
          <w:p w:rsidR="00DB36E5" w:rsidRDefault="001C67CD">
            <w:pPr>
              <w:jc w:val="center"/>
            </w:pPr>
            <w:r>
              <w:rPr>
                <w:color w:val="000000"/>
                <w:sz w:val="24"/>
              </w:rPr>
              <w:t>0.97%</w:t>
            </w:r>
          </w:p>
        </w:tc>
        <w:tc>
          <w:tcPr>
            <w:tcW w:w="1291" w:type="dxa"/>
            <w:vAlign w:val="center"/>
          </w:tcPr>
          <w:p w:rsidR="00DB36E5" w:rsidRDefault="001C67CD">
            <w:pPr>
              <w:jc w:val="center"/>
            </w:pPr>
            <w:r>
              <w:rPr>
                <w:color w:val="000000"/>
                <w:sz w:val="24"/>
              </w:rPr>
              <w:t>0.05%</w:t>
            </w:r>
          </w:p>
        </w:tc>
        <w:tc>
          <w:tcPr>
            <w:tcW w:w="1291" w:type="dxa"/>
            <w:vAlign w:val="center"/>
          </w:tcPr>
          <w:p w:rsidR="00DB36E5" w:rsidRDefault="001C67CD">
            <w:pPr>
              <w:jc w:val="center"/>
            </w:pPr>
            <w:r>
              <w:rPr>
                <w:color w:val="000000"/>
                <w:sz w:val="24"/>
              </w:rPr>
              <w:t>0.64%</w:t>
            </w:r>
          </w:p>
        </w:tc>
        <w:tc>
          <w:tcPr>
            <w:tcW w:w="1291" w:type="dxa"/>
            <w:vAlign w:val="center"/>
          </w:tcPr>
          <w:p w:rsidR="00DB36E5" w:rsidRDefault="001C67CD">
            <w:pPr>
              <w:jc w:val="center"/>
            </w:pPr>
            <w:r>
              <w:rPr>
                <w:color w:val="000000"/>
                <w:sz w:val="24"/>
              </w:rPr>
              <w:t>0.01%</w:t>
            </w:r>
          </w:p>
        </w:tc>
        <w:tc>
          <w:tcPr>
            <w:tcW w:w="1291" w:type="dxa"/>
            <w:vAlign w:val="center"/>
          </w:tcPr>
          <w:p w:rsidR="00DB36E5" w:rsidRDefault="001C67CD">
            <w:pPr>
              <w:jc w:val="center"/>
            </w:pPr>
            <w:r>
              <w:rPr>
                <w:color w:val="000000"/>
                <w:sz w:val="24"/>
              </w:rPr>
              <w:t>0.33%</w:t>
            </w:r>
          </w:p>
        </w:tc>
        <w:tc>
          <w:tcPr>
            <w:tcW w:w="1291" w:type="dxa"/>
            <w:vAlign w:val="center"/>
          </w:tcPr>
          <w:p w:rsidR="00DB36E5" w:rsidRDefault="001C67CD">
            <w:pPr>
              <w:jc w:val="center"/>
            </w:pPr>
            <w:r>
              <w:rPr>
                <w:color w:val="000000"/>
                <w:sz w:val="24"/>
              </w:rPr>
              <w:t>0.04%</w:t>
            </w:r>
          </w:p>
        </w:tc>
      </w:tr>
    </w:tbl>
    <w:p w:rsidR="00F016DD" w:rsidRPr="0078105B" w:rsidRDefault="00F016DD" w:rsidP="00174038">
      <w:pPr>
        <w:adjustRightInd w:val="0"/>
        <w:spacing w:line="360" w:lineRule="auto"/>
        <w:ind w:firstLineChars="150" w:firstLine="361"/>
        <w:rPr>
          <w:rFonts w:ascii="宋体" w:cs="Arial"/>
          <w:b/>
          <w:color w:val="000000"/>
          <w:kern w:val="0"/>
          <w:sz w:val="24"/>
        </w:rPr>
      </w:pPr>
      <w:r w:rsidRPr="0078105B">
        <w:rPr>
          <w:rFonts w:ascii="宋体" w:hAnsi="宋体" w:cs="Arial"/>
          <w:b/>
          <w:color w:val="000000"/>
          <w:kern w:val="0"/>
          <w:sz w:val="24"/>
        </w:rPr>
        <w:t>易方达纯债1年定期开放债券C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F4518C">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DB36E5">
        <w:tc>
          <w:tcPr>
            <w:tcW w:w="1290" w:type="dxa"/>
            <w:vAlign w:val="center"/>
          </w:tcPr>
          <w:p w:rsidR="00DB36E5" w:rsidRDefault="001C67CD">
            <w:pPr>
              <w:jc w:val="left"/>
            </w:pPr>
            <w:r>
              <w:rPr>
                <w:color w:val="000000"/>
                <w:sz w:val="24"/>
              </w:rPr>
              <w:t>过去三个月</w:t>
            </w:r>
          </w:p>
        </w:tc>
        <w:tc>
          <w:tcPr>
            <w:tcW w:w="1291" w:type="dxa"/>
            <w:vAlign w:val="center"/>
          </w:tcPr>
          <w:p w:rsidR="00DB36E5" w:rsidRDefault="001C67CD">
            <w:pPr>
              <w:jc w:val="center"/>
            </w:pPr>
            <w:r>
              <w:rPr>
                <w:color w:val="000000"/>
                <w:sz w:val="24"/>
              </w:rPr>
              <w:t>0.88%</w:t>
            </w:r>
          </w:p>
        </w:tc>
        <w:tc>
          <w:tcPr>
            <w:tcW w:w="1291" w:type="dxa"/>
            <w:vAlign w:val="center"/>
          </w:tcPr>
          <w:p w:rsidR="00DB36E5" w:rsidRDefault="001C67CD">
            <w:pPr>
              <w:jc w:val="center"/>
            </w:pPr>
            <w:r>
              <w:rPr>
                <w:color w:val="000000"/>
                <w:sz w:val="24"/>
              </w:rPr>
              <w:t>0.04%</w:t>
            </w:r>
          </w:p>
        </w:tc>
        <w:tc>
          <w:tcPr>
            <w:tcW w:w="1291" w:type="dxa"/>
            <w:vAlign w:val="center"/>
          </w:tcPr>
          <w:p w:rsidR="00DB36E5" w:rsidRDefault="001C67CD">
            <w:pPr>
              <w:jc w:val="center"/>
            </w:pPr>
            <w:r>
              <w:rPr>
                <w:color w:val="000000"/>
                <w:sz w:val="24"/>
              </w:rPr>
              <w:t>0.64%</w:t>
            </w:r>
          </w:p>
        </w:tc>
        <w:tc>
          <w:tcPr>
            <w:tcW w:w="1291" w:type="dxa"/>
            <w:vAlign w:val="center"/>
          </w:tcPr>
          <w:p w:rsidR="00DB36E5" w:rsidRDefault="001C67CD">
            <w:pPr>
              <w:jc w:val="center"/>
            </w:pPr>
            <w:r>
              <w:rPr>
                <w:color w:val="000000"/>
                <w:sz w:val="24"/>
              </w:rPr>
              <w:t>0.01%</w:t>
            </w:r>
          </w:p>
        </w:tc>
        <w:tc>
          <w:tcPr>
            <w:tcW w:w="1291" w:type="dxa"/>
            <w:vAlign w:val="center"/>
          </w:tcPr>
          <w:p w:rsidR="00DB36E5" w:rsidRDefault="001C67CD">
            <w:pPr>
              <w:jc w:val="center"/>
            </w:pPr>
            <w:r>
              <w:rPr>
                <w:color w:val="000000"/>
                <w:sz w:val="24"/>
              </w:rPr>
              <w:t>0.24%</w:t>
            </w:r>
          </w:p>
        </w:tc>
        <w:tc>
          <w:tcPr>
            <w:tcW w:w="1291" w:type="dxa"/>
            <w:vAlign w:val="center"/>
          </w:tcPr>
          <w:p w:rsidR="00DB36E5" w:rsidRDefault="001C67CD">
            <w:pPr>
              <w:jc w:val="center"/>
            </w:pPr>
            <w:r>
              <w:rPr>
                <w:color w:val="000000"/>
                <w:sz w:val="24"/>
              </w:rPr>
              <w:t>0.03%</w:t>
            </w:r>
          </w:p>
        </w:tc>
      </w:tr>
    </w:tbl>
    <w:p w:rsidR="00F016DD" w:rsidRPr="0078105B" w:rsidRDefault="00F016DD" w:rsidP="00FC13C8">
      <w:pPr>
        <w:spacing w:line="360" w:lineRule="auto"/>
        <w:rPr>
          <w:rFonts w:ascii="宋体" w:cs="Arial"/>
          <w:b/>
          <w:color w:val="000000"/>
          <w:kern w:val="0"/>
          <w:sz w:val="24"/>
        </w:rPr>
      </w:pPr>
      <w:r w:rsidRPr="0078105B">
        <w:rPr>
          <w:rFonts w:ascii="宋体" w:hAnsi="宋体" w:cs="Arial"/>
          <w:b/>
          <w:color w:val="000000"/>
          <w:kern w:val="0"/>
          <w:sz w:val="24"/>
        </w:rPr>
        <w:t>3.2.2</w:t>
      </w:r>
      <w:r w:rsidRPr="0078105B">
        <w:rPr>
          <w:rFonts w:ascii="宋体" w:hAnsi="宋体" w:cs="Arial" w:hint="eastAsia"/>
          <w:b/>
          <w:color w:val="000000"/>
          <w:kern w:val="0"/>
          <w:sz w:val="24"/>
        </w:rPr>
        <w:t xml:space="preserve">　</w:t>
      </w:r>
      <w:r w:rsidR="00AE2480" w:rsidRPr="00370BEA">
        <w:rPr>
          <w:rStyle w:val="af6"/>
          <w:rFonts w:hint="eastAsia"/>
          <w:color w:val="000000"/>
          <w:sz w:val="24"/>
          <w:shd w:val="clear" w:color="auto" w:fill="FFFFFF"/>
        </w:rPr>
        <w:t>自基金合同生效以来</w:t>
      </w:r>
      <w:r w:rsidRPr="0078105B">
        <w:rPr>
          <w:rFonts w:ascii="宋体" w:hAnsi="宋体" w:hint="eastAsia"/>
          <w:b/>
          <w:color w:val="000000"/>
          <w:sz w:val="24"/>
        </w:rPr>
        <w:t>基金累计净值增长率变动及其与同期业绩比较基准收益率变动的比较</w:t>
      </w:r>
    </w:p>
    <w:p w:rsidR="00F016DD" w:rsidRPr="00FA472B" w:rsidRDefault="00F016DD" w:rsidP="00FC13C8">
      <w:pPr>
        <w:spacing w:line="360" w:lineRule="auto"/>
        <w:jc w:val="center"/>
        <w:rPr>
          <w:color w:val="000000"/>
          <w:sz w:val="24"/>
        </w:rPr>
      </w:pPr>
      <w:r w:rsidRPr="00FA472B">
        <w:rPr>
          <w:color w:val="000000"/>
          <w:sz w:val="24"/>
        </w:rPr>
        <w:t>易方达纯债</w:t>
      </w:r>
      <w:r w:rsidRPr="00FA472B">
        <w:rPr>
          <w:color w:val="000000"/>
          <w:sz w:val="24"/>
        </w:rPr>
        <w:t>1</w:t>
      </w:r>
      <w:r w:rsidRPr="00FA472B">
        <w:rPr>
          <w:color w:val="000000"/>
          <w:sz w:val="24"/>
        </w:rPr>
        <w:t>年定期开放债券型证券投资基金</w:t>
      </w:r>
    </w:p>
    <w:p w:rsidR="00F016DD" w:rsidRPr="00FA472B" w:rsidRDefault="00F016DD" w:rsidP="00FC13C8">
      <w:pPr>
        <w:pStyle w:val="a5"/>
        <w:snapToGrid w:val="0"/>
        <w:spacing w:line="360" w:lineRule="auto"/>
        <w:jc w:val="center"/>
        <w:rPr>
          <w:rFonts w:ascii="Times New Roman" w:hAnsi="Times New Roman"/>
          <w:color w:val="000000"/>
          <w:sz w:val="24"/>
          <w:szCs w:val="24"/>
        </w:rPr>
      </w:pPr>
      <w:r w:rsidRPr="00FA472B">
        <w:rPr>
          <w:rFonts w:ascii="Times New Roman" w:hAnsi="Times New Roman"/>
          <w:color w:val="000000"/>
          <w:sz w:val="24"/>
          <w:szCs w:val="24"/>
        </w:rPr>
        <w:t>累计净值增长率与业绩比较基准收益率的历史走势对比图</w:t>
      </w:r>
    </w:p>
    <w:p w:rsidR="00F016DD" w:rsidRPr="00FA472B" w:rsidRDefault="00F016DD" w:rsidP="00FC13C8">
      <w:pPr>
        <w:pStyle w:val="a5"/>
        <w:snapToGrid w:val="0"/>
        <w:spacing w:line="360" w:lineRule="auto"/>
        <w:ind w:firstLine="480"/>
        <w:jc w:val="center"/>
        <w:rPr>
          <w:rFonts w:ascii="Times New Roman" w:hAnsi="Times New Roman"/>
          <w:sz w:val="24"/>
          <w:szCs w:val="24"/>
        </w:rPr>
      </w:pPr>
      <w:r w:rsidRPr="00FA472B">
        <w:rPr>
          <w:rFonts w:ascii="Times New Roman" w:hAnsi="Times New Roman"/>
          <w:sz w:val="24"/>
          <w:szCs w:val="24"/>
        </w:rPr>
        <w:t>(2013</w:t>
      </w:r>
      <w:r w:rsidRPr="00FA472B">
        <w:rPr>
          <w:rFonts w:ascii="Times New Roman" w:hAnsi="Times New Roman"/>
          <w:sz w:val="24"/>
          <w:szCs w:val="24"/>
        </w:rPr>
        <w:t>年</w:t>
      </w:r>
      <w:r w:rsidRPr="00FA472B">
        <w:rPr>
          <w:rFonts w:ascii="Times New Roman" w:hAnsi="Times New Roman"/>
          <w:sz w:val="24"/>
          <w:szCs w:val="24"/>
        </w:rPr>
        <w:t>7</w:t>
      </w:r>
      <w:r w:rsidRPr="00FA472B">
        <w:rPr>
          <w:rFonts w:ascii="Times New Roman" w:hAnsi="Times New Roman"/>
          <w:sz w:val="24"/>
          <w:szCs w:val="24"/>
        </w:rPr>
        <w:t>月</w:t>
      </w:r>
      <w:r w:rsidRPr="00FA472B">
        <w:rPr>
          <w:rFonts w:ascii="Times New Roman" w:hAnsi="Times New Roman"/>
          <w:sz w:val="24"/>
          <w:szCs w:val="24"/>
        </w:rPr>
        <w:t>30</w:t>
      </w:r>
      <w:r w:rsidRPr="00FA472B">
        <w:rPr>
          <w:rFonts w:ascii="Times New Roman" w:hAnsi="Times New Roman"/>
          <w:sz w:val="24"/>
          <w:szCs w:val="24"/>
        </w:rPr>
        <w:t>日至</w:t>
      </w:r>
      <w:r w:rsidRPr="00FA472B">
        <w:rPr>
          <w:rFonts w:ascii="Times New Roman" w:hAnsi="Times New Roman"/>
          <w:sz w:val="24"/>
          <w:szCs w:val="24"/>
        </w:rPr>
        <w:t>2019</w:t>
      </w:r>
      <w:r w:rsidRPr="00FA472B">
        <w:rPr>
          <w:rFonts w:ascii="Times New Roman" w:hAnsi="Times New Roman"/>
          <w:sz w:val="24"/>
          <w:szCs w:val="24"/>
        </w:rPr>
        <w:t>年</w:t>
      </w:r>
      <w:r w:rsidRPr="00FA472B">
        <w:rPr>
          <w:rFonts w:ascii="Times New Roman" w:hAnsi="Times New Roman"/>
          <w:sz w:val="24"/>
          <w:szCs w:val="24"/>
        </w:rPr>
        <w:t>9</w:t>
      </w:r>
      <w:r w:rsidRPr="00FA472B">
        <w:rPr>
          <w:rFonts w:ascii="Times New Roman" w:hAnsi="Times New Roman"/>
          <w:sz w:val="24"/>
          <w:szCs w:val="24"/>
        </w:rPr>
        <w:t>月</w:t>
      </w:r>
      <w:r w:rsidRPr="00FA472B">
        <w:rPr>
          <w:rFonts w:ascii="Times New Roman" w:hAnsi="Times New Roman"/>
          <w:sz w:val="24"/>
          <w:szCs w:val="24"/>
        </w:rPr>
        <w:t>30</w:t>
      </w:r>
      <w:r w:rsidRPr="00FA472B">
        <w:rPr>
          <w:rFonts w:ascii="Times New Roman" w:hAnsi="Times New Roman"/>
          <w:sz w:val="24"/>
          <w:szCs w:val="24"/>
        </w:rPr>
        <w:t>日</w:t>
      </w:r>
      <w:r w:rsidRPr="00FA472B">
        <w:rPr>
          <w:rFonts w:ascii="Times New Roman" w:hAnsi="Times New Roman"/>
          <w:sz w:val="24"/>
          <w:szCs w:val="24"/>
        </w:rPr>
        <w:t>)</w:t>
      </w:r>
    </w:p>
    <w:p w:rsidR="00F016DD" w:rsidRPr="00611CB2" w:rsidRDefault="00F016DD" w:rsidP="00174038">
      <w:pPr>
        <w:snapToGrid w:val="0"/>
        <w:spacing w:line="360" w:lineRule="auto"/>
        <w:ind w:firstLineChars="50" w:firstLine="120"/>
        <w:rPr>
          <w:color w:val="000000"/>
          <w:sz w:val="24"/>
        </w:rPr>
      </w:pPr>
      <w:r w:rsidRPr="00611CB2">
        <w:rPr>
          <w:color w:val="000000"/>
          <w:sz w:val="24"/>
        </w:rPr>
        <w:t>易方达纯债</w:t>
      </w:r>
      <w:r w:rsidRPr="00611CB2">
        <w:rPr>
          <w:color w:val="000000"/>
          <w:sz w:val="24"/>
        </w:rPr>
        <w:t>1</w:t>
      </w:r>
      <w:r w:rsidRPr="00611CB2">
        <w:rPr>
          <w:color w:val="000000"/>
          <w:sz w:val="24"/>
        </w:rPr>
        <w:t>年定期开放债券</w:t>
      </w:r>
      <w:r w:rsidRPr="00611CB2">
        <w:rPr>
          <w:color w:val="000000"/>
          <w:sz w:val="24"/>
        </w:rPr>
        <w:t>A</w:t>
      </w:r>
    </w:p>
    <w:p w:rsidR="00F016DD" w:rsidRPr="0078105B" w:rsidRDefault="001C67CD" w:rsidP="00FC7F43">
      <w:pPr>
        <w:pStyle w:val="20"/>
        <w:spacing w:line="288" w:lineRule="auto"/>
        <w:ind w:firstLineChars="0" w:firstLine="0"/>
        <w:jc w:val="center"/>
        <w:rPr>
          <w:color w:val="000000"/>
        </w:rPr>
      </w:pPr>
      <w:r>
        <w:rPr>
          <w:noProof/>
          <w:color w:val="00000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35.75pt;height:258pt;visibility:visible">
            <v:imagedata r:id="rId9" o:title=""/>
          </v:shape>
        </w:pict>
      </w:r>
    </w:p>
    <w:p w:rsidR="00F016DD" w:rsidRPr="00611CB2" w:rsidRDefault="00F016DD" w:rsidP="00DF18FE">
      <w:pPr>
        <w:snapToGrid w:val="0"/>
        <w:spacing w:line="360" w:lineRule="auto"/>
        <w:ind w:firstLineChars="50" w:firstLine="120"/>
        <w:rPr>
          <w:color w:val="000000"/>
          <w:sz w:val="24"/>
        </w:rPr>
      </w:pPr>
      <w:r w:rsidRPr="00611CB2">
        <w:rPr>
          <w:color w:val="000000"/>
          <w:sz w:val="24"/>
        </w:rPr>
        <w:t>易方达纯债</w:t>
      </w:r>
      <w:r w:rsidRPr="00611CB2">
        <w:rPr>
          <w:color w:val="000000"/>
          <w:sz w:val="24"/>
        </w:rPr>
        <w:t>1</w:t>
      </w:r>
      <w:r w:rsidRPr="00611CB2">
        <w:rPr>
          <w:color w:val="000000"/>
          <w:sz w:val="24"/>
        </w:rPr>
        <w:t>年定期开放债券</w:t>
      </w:r>
      <w:r w:rsidRPr="00611CB2">
        <w:rPr>
          <w:color w:val="000000"/>
          <w:sz w:val="24"/>
        </w:rPr>
        <w:t>C</w:t>
      </w:r>
    </w:p>
    <w:p w:rsidR="00F016DD" w:rsidRPr="0078105B" w:rsidRDefault="001C67CD" w:rsidP="00FC7F43">
      <w:pPr>
        <w:pStyle w:val="20"/>
        <w:spacing w:line="288" w:lineRule="auto"/>
        <w:ind w:firstLineChars="0" w:firstLine="0"/>
        <w:jc w:val="center"/>
        <w:rPr>
          <w:color w:val="000000"/>
        </w:rPr>
      </w:pPr>
      <w:r>
        <w:rPr>
          <w:noProof/>
          <w:color w:val="000000"/>
        </w:rPr>
        <w:pict>
          <v:shape id="图片 3" o:spid="_x0000_i1026" type="#_x0000_t75" style="width:435.75pt;height:258pt;visibility:visible">
            <v:imagedata r:id="rId10" o:title=""/>
          </v:shape>
        </w:pict>
      </w:r>
    </w:p>
    <w:p w:rsidR="00F016DD" w:rsidRPr="00DF18FE" w:rsidRDefault="00F016DD" w:rsidP="00DF18FE">
      <w:pPr>
        <w:spacing w:line="360" w:lineRule="auto"/>
        <w:ind w:firstLineChars="200" w:firstLine="480"/>
        <w:rPr>
          <w:color w:val="000000"/>
          <w:sz w:val="24"/>
        </w:rPr>
      </w:pPr>
      <w:r w:rsidRPr="00DF18FE">
        <w:rPr>
          <w:color w:val="000000"/>
          <w:sz w:val="24"/>
        </w:rPr>
        <w:t>注：自基金合同生效至报告期末，</w:t>
      </w:r>
      <w:r w:rsidRPr="00DF18FE">
        <w:rPr>
          <w:color w:val="000000"/>
          <w:sz w:val="24"/>
        </w:rPr>
        <w:t>A</w:t>
      </w:r>
      <w:r w:rsidRPr="00DF18FE">
        <w:rPr>
          <w:color w:val="000000"/>
          <w:sz w:val="24"/>
        </w:rPr>
        <w:t>类基金份额净值增长率为</w:t>
      </w:r>
      <w:r w:rsidRPr="00DF18FE">
        <w:rPr>
          <w:color w:val="000000"/>
          <w:sz w:val="24"/>
        </w:rPr>
        <w:t>40.95%</w:t>
      </w:r>
      <w:r w:rsidRPr="00DF18FE">
        <w:rPr>
          <w:color w:val="000000"/>
          <w:sz w:val="24"/>
        </w:rPr>
        <w:t>，</w:t>
      </w:r>
      <w:r w:rsidRPr="00DF18FE">
        <w:rPr>
          <w:color w:val="000000"/>
          <w:sz w:val="24"/>
        </w:rPr>
        <w:t>C</w:t>
      </w:r>
      <w:r w:rsidRPr="00DF18FE">
        <w:rPr>
          <w:color w:val="000000"/>
          <w:sz w:val="24"/>
        </w:rPr>
        <w:t>类基金份额净值增长率为</w:t>
      </w:r>
      <w:r w:rsidRPr="00DF18FE">
        <w:rPr>
          <w:color w:val="000000"/>
          <w:sz w:val="24"/>
        </w:rPr>
        <w:t>38.16%</w:t>
      </w:r>
      <w:r w:rsidRPr="00DF18FE">
        <w:rPr>
          <w:color w:val="000000"/>
          <w:sz w:val="24"/>
        </w:rPr>
        <w:t>，同期业绩比较基准收益率为</w:t>
      </w:r>
      <w:r w:rsidRPr="00DF18FE">
        <w:rPr>
          <w:color w:val="000000"/>
          <w:sz w:val="24"/>
        </w:rPr>
        <w:t>18.42%</w:t>
      </w:r>
      <w:r w:rsidRPr="00DF18FE">
        <w:rPr>
          <w:color w:val="000000"/>
          <w:sz w:val="24"/>
        </w:rPr>
        <w:t>。</w:t>
      </w:r>
    </w:p>
    <w:p w:rsidR="00F016DD" w:rsidRPr="00FA472B" w:rsidRDefault="00F016DD" w:rsidP="006C5BC9">
      <w:pPr>
        <w:tabs>
          <w:tab w:val="left" w:pos="1800"/>
        </w:tabs>
        <w:spacing w:line="288" w:lineRule="auto"/>
        <w:rPr>
          <w:color w:val="000000"/>
          <w:sz w:val="24"/>
        </w:rPr>
      </w:pP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4  </w:t>
      </w:r>
      <w:r w:rsidRPr="0078105B">
        <w:rPr>
          <w:rFonts w:ascii="宋体" w:hAnsi="宋体" w:cs="Arial" w:hint="eastAsia"/>
          <w:color w:val="000000"/>
          <w:kern w:val="0"/>
          <w:sz w:val="24"/>
          <w:szCs w:val="24"/>
        </w:rPr>
        <w:t>管理人报告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4.1 </w:t>
      </w:r>
      <w:r w:rsidRPr="0078105B">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F016DD" w:rsidRPr="0078105B" w:rsidTr="00B54884">
        <w:trPr>
          <w:cantSplit/>
        </w:trPr>
        <w:tc>
          <w:tcPr>
            <w:tcW w:w="56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lastRenderedPageBreak/>
              <w:t>姓名</w:t>
            </w:r>
          </w:p>
        </w:tc>
        <w:tc>
          <w:tcPr>
            <w:tcW w:w="2835"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F016DD" w:rsidRPr="0078105B" w:rsidTr="00B54884">
        <w:trPr>
          <w:cantSplit/>
        </w:trPr>
        <w:tc>
          <w:tcPr>
            <w:tcW w:w="56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835" w:type="dxa"/>
            <w:vMerge/>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851"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97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r>
      <w:tr w:rsidR="00DB36E5">
        <w:tc>
          <w:tcPr>
            <w:tcW w:w="567" w:type="dxa"/>
            <w:vAlign w:val="center"/>
          </w:tcPr>
          <w:p w:rsidR="00DB36E5" w:rsidRDefault="001C67CD">
            <w:pPr>
              <w:jc w:val="center"/>
            </w:pPr>
            <w:r>
              <w:rPr>
                <w:color w:val="000000"/>
                <w:sz w:val="24"/>
              </w:rPr>
              <w:t>李一硕</w:t>
            </w:r>
          </w:p>
        </w:tc>
        <w:tc>
          <w:tcPr>
            <w:tcW w:w="2835" w:type="dxa"/>
            <w:vAlign w:val="center"/>
          </w:tcPr>
          <w:p w:rsidR="00DB36E5" w:rsidRDefault="001C67CD">
            <w:pPr>
              <w:jc w:val="center"/>
            </w:pPr>
            <w:r>
              <w:rPr>
                <w:color w:val="000000"/>
                <w:sz w:val="24"/>
              </w:rPr>
              <w:t>本基金的基金经理、易方达裕如灵活配置混合型证券投资基金的基金经理、易方达永旭添利定期开放债券型证券投资基金的基金经理、易方达新享灵活配置混合型证券投资基金的基金经理（自</w:t>
            </w:r>
            <w:r>
              <w:rPr>
                <w:color w:val="000000"/>
                <w:sz w:val="24"/>
              </w:rPr>
              <w:t>2017</w:t>
            </w:r>
            <w:r>
              <w:rPr>
                <w:color w:val="000000"/>
                <w:sz w:val="24"/>
              </w:rPr>
              <w:t>年</w:t>
            </w:r>
            <w:r>
              <w:rPr>
                <w:color w:val="000000"/>
                <w:sz w:val="24"/>
              </w:rPr>
              <w:t>03</w:t>
            </w:r>
            <w:r>
              <w:rPr>
                <w:color w:val="000000"/>
                <w:sz w:val="24"/>
              </w:rPr>
              <w:t>月</w:t>
            </w:r>
            <w:r>
              <w:rPr>
                <w:color w:val="000000"/>
                <w:sz w:val="24"/>
              </w:rPr>
              <w:t>07</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日）、易方达新利灵活配置混合型证券投资基金的基金经理（自</w:t>
            </w:r>
            <w:r>
              <w:rPr>
                <w:color w:val="000000"/>
                <w:sz w:val="24"/>
              </w:rPr>
              <w:t>2017</w:t>
            </w:r>
            <w:r>
              <w:rPr>
                <w:color w:val="000000"/>
                <w:sz w:val="24"/>
              </w:rPr>
              <w:t>年</w:t>
            </w:r>
            <w:r>
              <w:rPr>
                <w:color w:val="000000"/>
                <w:sz w:val="24"/>
              </w:rPr>
              <w:t>03</w:t>
            </w:r>
            <w:r>
              <w:rPr>
                <w:color w:val="000000"/>
                <w:sz w:val="24"/>
              </w:rPr>
              <w:t>月</w:t>
            </w:r>
            <w:r>
              <w:rPr>
                <w:color w:val="000000"/>
                <w:sz w:val="24"/>
              </w:rPr>
              <w:t>07</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日）、易方达瑞景灵活配置混合型证券投资基金的基金经理（自</w:t>
            </w:r>
            <w:r>
              <w:rPr>
                <w:color w:val="000000"/>
                <w:sz w:val="24"/>
              </w:rPr>
              <w:t>2016</w:t>
            </w:r>
            <w:r>
              <w:rPr>
                <w:color w:val="000000"/>
                <w:sz w:val="24"/>
              </w:rPr>
              <w:t>年</w:t>
            </w:r>
            <w:r>
              <w:rPr>
                <w:color w:val="000000"/>
                <w:sz w:val="24"/>
              </w:rPr>
              <w:t>08</w:t>
            </w:r>
            <w:r>
              <w:rPr>
                <w:color w:val="000000"/>
                <w:sz w:val="24"/>
              </w:rPr>
              <w:t>月</w:t>
            </w:r>
            <w:r>
              <w:rPr>
                <w:color w:val="000000"/>
                <w:sz w:val="24"/>
              </w:rPr>
              <w:t>06</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日）、易方达年年恒夏纯债一年定期开放债券型发起式证券投资基金的基金经理、易方达聚盈分级债券型发起式证</w:t>
            </w:r>
            <w:r>
              <w:rPr>
                <w:color w:val="000000"/>
                <w:sz w:val="24"/>
              </w:rPr>
              <w:t>券投资基金的基金经理、易方达恒益定期开放债券型发起式证券投资基金的基金经理、易方达恒信定期开放债券型发起式证券投资基金的基金经理、易方达恒惠定期开放债券型发起式证券投资基金的基金经理、易方达富惠纯债债券型证券投资基金的基金经理、易方达安源中短债债券型证券投资基金的基金经理、易方达裕惠回报定期开放式混合型发起式证券投资基金的基金经理助理、</w:t>
            </w:r>
            <w:r>
              <w:rPr>
                <w:color w:val="000000"/>
                <w:sz w:val="24"/>
              </w:rPr>
              <w:lastRenderedPageBreak/>
              <w:t>易方达信用债债券型证券投资基金的基金经理助理、易方达中债新综合债券指数发起式证券投资基金</w:t>
            </w:r>
            <w:r>
              <w:rPr>
                <w:color w:val="000000"/>
                <w:sz w:val="24"/>
              </w:rPr>
              <w:t>(LOF)</w:t>
            </w:r>
            <w:r>
              <w:rPr>
                <w:color w:val="000000"/>
                <w:sz w:val="24"/>
              </w:rPr>
              <w:t>的基金经理助理、易方达稳健收益债券型证券投资基金的基金经理助理、易方达丰惠混</w:t>
            </w:r>
            <w:r>
              <w:rPr>
                <w:color w:val="000000"/>
                <w:sz w:val="24"/>
              </w:rPr>
              <w:t>合型证券投资基金的基金经理助理、易方达瑞富灵活配置混合型证券投资基金的基金经理助理、易方达瑞祺灵活配置混合型证券投资基金的基金经理助理、易方达恒益定期开放债券型发起式证券投资基金的基金经理助理（自</w:t>
            </w:r>
            <w:r>
              <w:rPr>
                <w:color w:val="000000"/>
                <w:sz w:val="24"/>
              </w:rPr>
              <w:t>2019</w:t>
            </w:r>
            <w:r>
              <w:rPr>
                <w:color w:val="000000"/>
                <w:sz w:val="24"/>
              </w:rPr>
              <w:t>年</w:t>
            </w:r>
            <w:r>
              <w:rPr>
                <w:color w:val="000000"/>
                <w:sz w:val="24"/>
              </w:rPr>
              <w:t>07</w:t>
            </w:r>
            <w:r>
              <w:rPr>
                <w:color w:val="000000"/>
                <w:sz w:val="24"/>
              </w:rPr>
              <w:t>月</w:t>
            </w:r>
            <w:r>
              <w:rPr>
                <w:color w:val="000000"/>
                <w:sz w:val="24"/>
              </w:rPr>
              <w:t>10</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17</w:t>
            </w:r>
            <w:r>
              <w:rPr>
                <w:color w:val="000000"/>
                <w:sz w:val="24"/>
              </w:rPr>
              <w:t>日）</w:t>
            </w:r>
          </w:p>
        </w:tc>
        <w:tc>
          <w:tcPr>
            <w:tcW w:w="851" w:type="dxa"/>
            <w:vAlign w:val="center"/>
          </w:tcPr>
          <w:p w:rsidR="00DB36E5" w:rsidRDefault="001C67CD">
            <w:pPr>
              <w:jc w:val="center"/>
            </w:pPr>
            <w:r>
              <w:rPr>
                <w:color w:val="000000"/>
                <w:sz w:val="24"/>
              </w:rPr>
              <w:lastRenderedPageBreak/>
              <w:t>2015-03-14</w:t>
            </w:r>
          </w:p>
        </w:tc>
        <w:tc>
          <w:tcPr>
            <w:tcW w:w="850" w:type="dxa"/>
            <w:vAlign w:val="center"/>
          </w:tcPr>
          <w:p w:rsidR="00DB36E5" w:rsidRDefault="001C67CD">
            <w:pPr>
              <w:jc w:val="center"/>
            </w:pPr>
            <w:r>
              <w:rPr>
                <w:color w:val="000000"/>
                <w:sz w:val="24"/>
              </w:rPr>
              <w:t>-</w:t>
            </w:r>
          </w:p>
        </w:tc>
        <w:tc>
          <w:tcPr>
            <w:tcW w:w="851" w:type="dxa"/>
            <w:vAlign w:val="center"/>
          </w:tcPr>
          <w:p w:rsidR="00DB36E5" w:rsidRDefault="001C67CD">
            <w:pPr>
              <w:jc w:val="center"/>
            </w:pPr>
            <w:r>
              <w:rPr>
                <w:color w:val="000000"/>
                <w:sz w:val="24"/>
              </w:rPr>
              <w:t>11</w:t>
            </w:r>
            <w:r>
              <w:rPr>
                <w:color w:val="000000"/>
                <w:sz w:val="24"/>
              </w:rPr>
              <w:t>年</w:t>
            </w:r>
          </w:p>
        </w:tc>
        <w:tc>
          <w:tcPr>
            <w:tcW w:w="2977" w:type="dxa"/>
            <w:vAlign w:val="center"/>
          </w:tcPr>
          <w:p w:rsidR="00DB36E5" w:rsidRDefault="001C67CD">
            <w:r>
              <w:rPr>
                <w:color w:val="000000"/>
                <w:sz w:val="24"/>
              </w:rPr>
              <w:t>硕士研究生，曾任瑞银证券有限公司研究员，中国国际金融有限公司研究员，易方达基金管理有限公司研究员、易方达新利灵活配置混合型证券投资基金基金经理助理、易方达新享灵活配置混合型证券投资基金基金经理助理、易方达裕如灵活配置混合型证券投资基</w:t>
            </w:r>
            <w:r>
              <w:rPr>
                <w:color w:val="000000"/>
                <w:sz w:val="24"/>
              </w:rPr>
              <w:t>金基金经理助理、易方达瑞祥灵活配置混合型证券投资基金基金经理助理、易方达瑞兴灵活配置混合型证券投资基金基金经理助理、易方达瑞智灵活配置混合型证券投资基金基金经理助理。</w:t>
            </w:r>
          </w:p>
        </w:tc>
      </w:tr>
    </w:tbl>
    <w:p w:rsidR="00DB36E5" w:rsidRDefault="001C67CD">
      <w:pPr>
        <w:spacing w:line="360" w:lineRule="auto"/>
        <w:ind w:firstLineChars="200" w:firstLine="480"/>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F016DD" w:rsidRPr="00EA6415" w:rsidRDefault="00F016DD" w:rsidP="00DF18FE">
      <w:pPr>
        <w:spacing w:line="360" w:lineRule="auto"/>
        <w:ind w:firstLineChars="200" w:firstLine="480"/>
        <w:rPr>
          <w:color w:val="000000"/>
          <w:sz w:val="24"/>
        </w:rPr>
      </w:pPr>
      <w:r w:rsidRPr="00DF18FE">
        <w:rPr>
          <w:color w:val="000000"/>
          <w:sz w:val="24"/>
        </w:rPr>
        <w:t>2.</w:t>
      </w:r>
      <w:r w:rsidRPr="00DF18FE">
        <w:rPr>
          <w:color w:val="000000"/>
          <w:sz w:val="24"/>
        </w:rPr>
        <w:t>证券从业的含义遵从《证券业从业人员资格管理办法》的相关规定。</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4.2</w:t>
      </w:r>
      <w:r>
        <w:rPr>
          <w:rFonts w:cs="Arial" w:hint="eastAsia"/>
          <w:b/>
          <w:color w:val="000000"/>
          <w:kern w:val="0"/>
          <w:sz w:val="24"/>
        </w:rPr>
        <w:t>管理人对</w:t>
      </w:r>
      <w:r w:rsidRPr="00BB04BF">
        <w:rPr>
          <w:rFonts w:cs="Arial" w:hint="eastAsia"/>
          <w:b/>
          <w:color w:val="000000"/>
          <w:kern w:val="0"/>
          <w:sz w:val="24"/>
        </w:rPr>
        <w:t>报告期内本基金运作遵规守信情况</w:t>
      </w:r>
      <w:r>
        <w:rPr>
          <w:rFonts w:cs="Arial" w:hint="eastAsia"/>
          <w:b/>
          <w:color w:val="000000"/>
          <w:kern w:val="0"/>
          <w:sz w:val="24"/>
        </w:rPr>
        <w:t>的</w:t>
      </w:r>
      <w:r w:rsidRPr="00BB04BF">
        <w:rPr>
          <w:rFonts w:cs="Arial" w:hint="eastAsia"/>
          <w:b/>
          <w:color w:val="000000"/>
          <w:kern w:val="0"/>
          <w:sz w:val="24"/>
        </w:rPr>
        <w:t>说明</w:t>
      </w:r>
    </w:p>
    <w:p w:rsidR="00F016DD" w:rsidRPr="00DF18FE" w:rsidRDefault="00F016DD" w:rsidP="00DF18FE">
      <w:pPr>
        <w:spacing w:line="360" w:lineRule="auto"/>
        <w:ind w:firstLineChars="200" w:firstLine="480"/>
        <w:rPr>
          <w:color w:val="000000"/>
          <w:sz w:val="24"/>
        </w:rPr>
      </w:pPr>
      <w:r w:rsidRPr="00DF18FE">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4.3 </w:t>
      </w:r>
      <w:r w:rsidRPr="0078105B">
        <w:rPr>
          <w:rFonts w:ascii="宋体" w:hAnsi="宋体" w:cs="Arial" w:hint="eastAsia"/>
          <w:b/>
          <w:color w:val="000000"/>
          <w:kern w:val="0"/>
          <w:sz w:val="24"/>
        </w:rPr>
        <w:t>公平交易专项说明</w:t>
      </w:r>
    </w:p>
    <w:p w:rsidR="00F016DD" w:rsidRPr="00FA472B" w:rsidRDefault="00F016DD" w:rsidP="00FC13C8">
      <w:pPr>
        <w:spacing w:line="360" w:lineRule="auto"/>
        <w:rPr>
          <w:rFonts w:ascii="宋体" w:hAnsi="宋体"/>
          <w:sz w:val="24"/>
        </w:rPr>
      </w:pPr>
      <w:r w:rsidRPr="00FA472B">
        <w:rPr>
          <w:rFonts w:ascii="宋体" w:hAnsi="宋体"/>
          <w:sz w:val="24"/>
        </w:rPr>
        <w:t xml:space="preserve">4.3.1 </w:t>
      </w:r>
      <w:r w:rsidRPr="00FA472B">
        <w:rPr>
          <w:rFonts w:ascii="宋体" w:hAnsi="宋体" w:hint="eastAsia"/>
          <w:sz w:val="24"/>
        </w:rPr>
        <w:t>公平交易制度的执行情况</w:t>
      </w:r>
    </w:p>
    <w:p w:rsidR="00F016DD" w:rsidRPr="00EA6415" w:rsidRDefault="00F016DD" w:rsidP="00DF18FE">
      <w:pPr>
        <w:spacing w:line="360" w:lineRule="auto"/>
        <w:ind w:firstLineChars="200" w:firstLine="480"/>
        <w:rPr>
          <w:color w:val="000000"/>
          <w:sz w:val="24"/>
        </w:rPr>
      </w:pPr>
      <w:r w:rsidRPr="00DF18FE">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DF18FE">
        <w:rPr>
          <w:color w:val="000000"/>
          <w:sz w:val="24"/>
        </w:rPr>
        <w:t>“</w:t>
      </w:r>
      <w:r w:rsidRPr="00DF18FE">
        <w:rPr>
          <w:color w:val="000000"/>
          <w:sz w:val="24"/>
        </w:rPr>
        <w:t>时间优先、价格优先</w:t>
      </w:r>
      <w:r w:rsidRPr="00DF18FE">
        <w:rPr>
          <w:color w:val="000000"/>
          <w:sz w:val="24"/>
        </w:rPr>
        <w:t>”</w:t>
      </w:r>
      <w:r w:rsidRPr="00DF18FE">
        <w:rPr>
          <w:color w:val="000000"/>
          <w:sz w:val="24"/>
        </w:rPr>
        <w:t>作为执行指令的基本原则，</w:t>
      </w:r>
      <w:r w:rsidRPr="00DF18FE">
        <w:rPr>
          <w:color w:val="000000"/>
          <w:sz w:val="24"/>
        </w:rPr>
        <w:lastRenderedPageBreak/>
        <w:t>通过投资交易系统中的公平交易模块，以尽可能确保公平对待各投资组合。本报告期内，公平交易制度总体执行情况良好。</w:t>
      </w:r>
    </w:p>
    <w:p w:rsidR="00F016DD" w:rsidRPr="00FA472B" w:rsidRDefault="00F016DD" w:rsidP="00FC13C8">
      <w:pPr>
        <w:spacing w:line="360" w:lineRule="auto"/>
        <w:rPr>
          <w:rFonts w:ascii="宋体" w:hAnsi="宋体"/>
          <w:sz w:val="24"/>
        </w:rPr>
      </w:pPr>
      <w:r w:rsidRPr="00FA472B">
        <w:rPr>
          <w:rFonts w:ascii="宋体" w:hAnsi="宋体"/>
          <w:sz w:val="24"/>
        </w:rPr>
        <w:t xml:space="preserve">4.3.2 </w:t>
      </w:r>
      <w:r w:rsidRPr="00FA472B">
        <w:rPr>
          <w:rFonts w:ascii="宋体" w:hAnsi="宋体" w:hint="eastAsia"/>
          <w:sz w:val="24"/>
        </w:rPr>
        <w:t>异常交易行为的专项说明</w:t>
      </w:r>
    </w:p>
    <w:p w:rsidR="00DB36E5" w:rsidRDefault="001C67CD">
      <w:pPr>
        <w:spacing w:line="360" w:lineRule="auto"/>
        <w:ind w:firstLineChars="200" w:firstLine="480"/>
        <w:rPr>
          <w:color w:val="000000"/>
          <w:sz w:val="24"/>
        </w:rPr>
      </w:pPr>
      <w:r>
        <w:rPr>
          <w:color w:val="000000"/>
          <w:sz w:val="24"/>
        </w:rPr>
        <w:t>本报告期内，公司旗下所有投资组合参与的交易所公开竞价交易中，同日反向交</w:t>
      </w:r>
      <w:r>
        <w:rPr>
          <w:color w:val="000000"/>
          <w:sz w:val="24"/>
        </w:rPr>
        <w:t>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F016DD" w:rsidRPr="00DF18FE" w:rsidRDefault="00F016DD" w:rsidP="00DF18FE">
      <w:pPr>
        <w:spacing w:line="360" w:lineRule="auto"/>
        <w:ind w:firstLineChars="200" w:firstLine="480"/>
        <w:rPr>
          <w:color w:val="000000"/>
          <w:sz w:val="24"/>
        </w:rPr>
      </w:pPr>
      <w:r w:rsidRPr="00DF18FE">
        <w:rPr>
          <w:color w:val="000000"/>
          <w:sz w:val="24"/>
        </w:rPr>
        <w:t>本报告期内，未发现本基金有可能导致不公平交易和利益输送的异常交易。</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4.4 </w:t>
      </w:r>
      <w:r w:rsidRPr="0078105B">
        <w:rPr>
          <w:rFonts w:ascii="宋体" w:hAnsi="宋体" w:cs="Arial" w:hint="eastAsia"/>
          <w:b/>
          <w:color w:val="000000"/>
          <w:kern w:val="0"/>
          <w:sz w:val="24"/>
        </w:rPr>
        <w:t>报告期内基金的投资策略和业绩表现说明</w:t>
      </w:r>
    </w:p>
    <w:p w:rsidR="00F016DD" w:rsidRPr="0078105B" w:rsidRDefault="00F016DD" w:rsidP="00FC13C8">
      <w:pPr>
        <w:spacing w:line="360" w:lineRule="auto"/>
        <w:rPr>
          <w:rFonts w:ascii="宋体"/>
          <w:sz w:val="24"/>
        </w:rPr>
      </w:pPr>
      <w:r w:rsidRPr="0078105B">
        <w:rPr>
          <w:rFonts w:ascii="宋体" w:hAnsi="宋体"/>
          <w:sz w:val="24"/>
        </w:rPr>
        <w:t>4.4.1</w:t>
      </w:r>
      <w:r w:rsidRPr="0078105B">
        <w:rPr>
          <w:rFonts w:ascii="宋体" w:hAnsi="宋体" w:hint="eastAsia"/>
          <w:sz w:val="24"/>
        </w:rPr>
        <w:t>报告期内基金投资策略和运作分析</w:t>
      </w:r>
    </w:p>
    <w:p w:rsidR="00DB36E5" w:rsidRDefault="001C67CD">
      <w:pPr>
        <w:spacing w:line="360" w:lineRule="auto"/>
        <w:ind w:firstLineChars="200" w:firstLine="480"/>
        <w:rPr>
          <w:color w:val="000000"/>
          <w:sz w:val="24"/>
        </w:rPr>
      </w:pPr>
      <w:r>
        <w:rPr>
          <w:color w:val="000000"/>
          <w:sz w:val="24"/>
        </w:rPr>
        <w:t>2019</w:t>
      </w:r>
      <w:r>
        <w:rPr>
          <w:color w:val="000000"/>
          <w:sz w:val="24"/>
        </w:rPr>
        <w:t>年三季度宏观经济维持相对弱势。在经历了</w:t>
      </w:r>
      <w:r>
        <w:rPr>
          <w:color w:val="000000"/>
          <w:sz w:val="24"/>
        </w:rPr>
        <w:t>6</w:t>
      </w:r>
      <w:r>
        <w:rPr>
          <w:color w:val="000000"/>
          <w:sz w:val="24"/>
        </w:rPr>
        <w:t>月份超预期的增长数据后，</w:t>
      </w:r>
      <w:r>
        <w:rPr>
          <w:color w:val="000000"/>
          <w:sz w:val="24"/>
        </w:rPr>
        <w:t>7-8</w:t>
      </w:r>
      <w:r>
        <w:rPr>
          <w:color w:val="000000"/>
          <w:sz w:val="24"/>
        </w:rPr>
        <w:t>月大部分经济指标均有所回落，低于市场此前的预计水平。其中</w:t>
      </w:r>
      <w:r>
        <w:rPr>
          <w:color w:val="000000"/>
          <w:sz w:val="24"/>
        </w:rPr>
        <w:t>7</w:t>
      </w:r>
      <w:r>
        <w:rPr>
          <w:color w:val="000000"/>
          <w:sz w:val="24"/>
        </w:rPr>
        <w:t>月工业增加值同比增速由</w:t>
      </w:r>
      <w:r>
        <w:rPr>
          <w:color w:val="000000"/>
          <w:sz w:val="24"/>
        </w:rPr>
        <w:t>6</w:t>
      </w:r>
      <w:r>
        <w:rPr>
          <w:color w:val="000000"/>
          <w:sz w:val="24"/>
        </w:rPr>
        <w:t>月份的</w:t>
      </w:r>
      <w:r>
        <w:rPr>
          <w:color w:val="000000"/>
          <w:sz w:val="24"/>
        </w:rPr>
        <w:t>6.3%</w:t>
      </w:r>
      <w:r>
        <w:rPr>
          <w:color w:val="000000"/>
          <w:sz w:val="24"/>
        </w:rPr>
        <w:t>下降至</w:t>
      </w:r>
      <w:r>
        <w:rPr>
          <w:color w:val="000000"/>
          <w:sz w:val="24"/>
        </w:rPr>
        <w:t>4.8%</w:t>
      </w:r>
      <w:r>
        <w:rPr>
          <w:color w:val="000000"/>
          <w:sz w:val="24"/>
        </w:rPr>
        <w:t>，</w:t>
      </w:r>
      <w:r>
        <w:rPr>
          <w:color w:val="000000"/>
          <w:sz w:val="24"/>
        </w:rPr>
        <w:t>8</w:t>
      </w:r>
      <w:r>
        <w:rPr>
          <w:color w:val="000000"/>
          <w:sz w:val="24"/>
        </w:rPr>
        <w:t>月份进一步回落至</w:t>
      </w:r>
      <w:r>
        <w:rPr>
          <w:color w:val="000000"/>
          <w:sz w:val="24"/>
        </w:rPr>
        <w:t>4.4%</w:t>
      </w:r>
      <w:r>
        <w:rPr>
          <w:color w:val="000000"/>
          <w:sz w:val="24"/>
        </w:rPr>
        <w:t>；</w:t>
      </w:r>
      <w:r>
        <w:rPr>
          <w:color w:val="000000"/>
          <w:sz w:val="24"/>
        </w:rPr>
        <w:t>7</w:t>
      </w:r>
      <w:r>
        <w:rPr>
          <w:color w:val="000000"/>
          <w:sz w:val="24"/>
        </w:rPr>
        <w:t>月份社会销</w:t>
      </w:r>
      <w:r>
        <w:rPr>
          <w:color w:val="000000"/>
          <w:sz w:val="24"/>
        </w:rPr>
        <w:t>售品零售总额同比增长</w:t>
      </w:r>
      <w:r>
        <w:rPr>
          <w:color w:val="000000"/>
          <w:sz w:val="24"/>
        </w:rPr>
        <w:t>7.6%</w:t>
      </w:r>
      <w:r>
        <w:rPr>
          <w:color w:val="000000"/>
          <w:sz w:val="24"/>
        </w:rPr>
        <w:t>，增速相较</w:t>
      </w:r>
      <w:r>
        <w:rPr>
          <w:color w:val="000000"/>
          <w:sz w:val="24"/>
        </w:rPr>
        <w:t>6</w:t>
      </w:r>
      <w:r>
        <w:rPr>
          <w:color w:val="000000"/>
          <w:sz w:val="24"/>
        </w:rPr>
        <w:t>月份回落</w:t>
      </w:r>
      <w:r>
        <w:rPr>
          <w:color w:val="000000"/>
          <w:sz w:val="24"/>
        </w:rPr>
        <w:t>2.2</w:t>
      </w:r>
      <w:r>
        <w:rPr>
          <w:color w:val="000000"/>
          <w:sz w:val="24"/>
        </w:rPr>
        <w:t>个百分点，</w:t>
      </w:r>
      <w:r>
        <w:rPr>
          <w:color w:val="000000"/>
          <w:sz w:val="24"/>
        </w:rPr>
        <w:t>8</w:t>
      </w:r>
      <w:r>
        <w:rPr>
          <w:color w:val="000000"/>
          <w:sz w:val="24"/>
        </w:rPr>
        <w:t>月份小幅放缓至</w:t>
      </w:r>
      <w:r>
        <w:rPr>
          <w:color w:val="000000"/>
          <w:sz w:val="24"/>
        </w:rPr>
        <w:t>7.5%</w:t>
      </w:r>
      <w:r>
        <w:rPr>
          <w:color w:val="000000"/>
          <w:sz w:val="24"/>
        </w:rPr>
        <w:t>；固定资产投资增速在</w:t>
      </w:r>
      <w:r>
        <w:rPr>
          <w:color w:val="000000"/>
          <w:sz w:val="24"/>
        </w:rPr>
        <w:t>6</w:t>
      </w:r>
      <w:r>
        <w:rPr>
          <w:color w:val="000000"/>
          <w:sz w:val="24"/>
        </w:rPr>
        <w:t>月份冲高之后同样连续两个月有所回落。三季度海外主要经济体同样面临经济增速下行的风险，叠加中美贸易谈判继续出现诸多波折，未来全球经济的增速预期仍不明朗。</w:t>
      </w:r>
    </w:p>
    <w:p w:rsidR="00DB36E5" w:rsidRDefault="001C67CD">
      <w:pPr>
        <w:spacing w:line="360" w:lineRule="auto"/>
        <w:ind w:firstLineChars="200" w:firstLine="480"/>
        <w:rPr>
          <w:color w:val="000000"/>
          <w:sz w:val="24"/>
        </w:rPr>
      </w:pPr>
      <w:r>
        <w:rPr>
          <w:color w:val="000000"/>
          <w:sz w:val="24"/>
        </w:rPr>
        <w:t>在宏观基本面不确定性上升的背景下，货币政策宽松的预期增加，海外债券市场收益率不断回落，共同带动三季度我国债券市场收益率总体呈现下行态势。但</w:t>
      </w:r>
      <w:r>
        <w:rPr>
          <w:color w:val="000000"/>
          <w:sz w:val="24"/>
        </w:rPr>
        <w:t>9</w:t>
      </w:r>
      <w:r>
        <w:rPr>
          <w:color w:val="000000"/>
          <w:sz w:val="24"/>
        </w:rPr>
        <w:t>月份以来，随着央行全面下调金融机构存款准备金率的政策公布，债券市场收益率开始出现回升，尤其是长端品种调整较为明</w:t>
      </w:r>
      <w:r>
        <w:rPr>
          <w:color w:val="000000"/>
          <w:sz w:val="24"/>
        </w:rPr>
        <w:t>显。</w:t>
      </w:r>
    </w:p>
    <w:p w:rsidR="00F016DD" w:rsidRPr="00DF18FE" w:rsidRDefault="00F016DD" w:rsidP="00DF18FE">
      <w:pPr>
        <w:spacing w:line="360" w:lineRule="auto"/>
        <w:ind w:firstLineChars="200" w:firstLine="480"/>
        <w:rPr>
          <w:color w:val="000000"/>
          <w:sz w:val="24"/>
        </w:rPr>
      </w:pPr>
      <w:r w:rsidRPr="00DF18FE">
        <w:rPr>
          <w:color w:val="000000"/>
          <w:sz w:val="24"/>
        </w:rPr>
        <w:t>操作上，组合进入开放期之后保持了较好的流动性水平，开放期结束后杠杆比例有所回升。未来在维持久期匹配的整体策略下，将根据市场情况灵活调整组合的配置结构。</w:t>
      </w:r>
    </w:p>
    <w:p w:rsidR="00F016DD" w:rsidRPr="0078105B" w:rsidRDefault="00F016DD" w:rsidP="00FC13C8">
      <w:pPr>
        <w:spacing w:line="360" w:lineRule="auto"/>
        <w:rPr>
          <w:rFonts w:ascii="宋体"/>
          <w:sz w:val="24"/>
        </w:rPr>
      </w:pPr>
      <w:r w:rsidRPr="0078105B">
        <w:rPr>
          <w:rFonts w:ascii="宋体" w:hAnsi="宋体"/>
          <w:sz w:val="24"/>
        </w:rPr>
        <w:t>4.4.2</w:t>
      </w:r>
      <w:r w:rsidRPr="0078105B">
        <w:rPr>
          <w:rFonts w:ascii="宋体" w:hAnsi="宋体" w:hint="eastAsia"/>
          <w:sz w:val="24"/>
        </w:rPr>
        <w:t>报告期内基金的业绩表现</w:t>
      </w:r>
    </w:p>
    <w:p w:rsidR="00F016DD" w:rsidRPr="00DF18FE" w:rsidRDefault="00F016DD" w:rsidP="00DF18FE">
      <w:pPr>
        <w:spacing w:line="360" w:lineRule="auto"/>
        <w:ind w:firstLineChars="200" w:firstLine="480"/>
        <w:rPr>
          <w:color w:val="000000"/>
          <w:sz w:val="24"/>
        </w:rPr>
      </w:pPr>
      <w:r w:rsidRPr="00DF18FE">
        <w:rPr>
          <w:color w:val="000000"/>
          <w:sz w:val="24"/>
        </w:rPr>
        <w:t>截至报告期末，本基金</w:t>
      </w:r>
      <w:r w:rsidRPr="00DF18FE">
        <w:rPr>
          <w:color w:val="000000"/>
          <w:sz w:val="24"/>
        </w:rPr>
        <w:t>A</w:t>
      </w:r>
      <w:r w:rsidRPr="00DF18FE">
        <w:rPr>
          <w:color w:val="000000"/>
          <w:sz w:val="24"/>
        </w:rPr>
        <w:t>类基金份额净值为</w:t>
      </w:r>
      <w:r w:rsidRPr="00DF18FE">
        <w:rPr>
          <w:color w:val="000000"/>
          <w:sz w:val="24"/>
        </w:rPr>
        <w:t>1.037</w:t>
      </w:r>
      <w:r w:rsidRPr="00DF18FE">
        <w:rPr>
          <w:color w:val="000000"/>
          <w:sz w:val="24"/>
        </w:rPr>
        <w:t>元，本报告期份额净值增长率为</w:t>
      </w:r>
      <w:r w:rsidRPr="00DF18FE">
        <w:rPr>
          <w:color w:val="000000"/>
          <w:sz w:val="24"/>
        </w:rPr>
        <w:t>0.97%</w:t>
      </w:r>
      <w:r w:rsidRPr="00DF18FE">
        <w:rPr>
          <w:color w:val="000000"/>
          <w:sz w:val="24"/>
        </w:rPr>
        <w:t>；</w:t>
      </w:r>
      <w:r w:rsidRPr="00DF18FE">
        <w:rPr>
          <w:color w:val="000000"/>
          <w:sz w:val="24"/>
        </w:rPr>
        <w:t>C</w:t>
      </w:r>
      <w:r w:rsidRPr="00DF18FE">
        <w:rPr>
          <w:color w:val="000000"/>
          <w:sz w:val="24"/>
        </w:rPr>
        <w:t>类基金份额净值为</w:t>
      </w:r>
      <w:r w:rsidRPr="00DF18FE">
        <w:rPr>
          <w:color w:val="000000"/>
          <w:sz w:val="24"/>
        </w:rPr>
        <w:t>1.035</w:t>
      </w:r>
      <w:r w:rsidRPr="00DF18FE">
        <w:rPr>
          <w:color w:val="000000"/>
          <w:sz w:val="24"/>
        </w:rPr>
        <w:t>元，本报告期份额净值增长率为</w:t>
      </w:r>
      <w:r w:rsidRPr="00DF18FE">
        <w:rPr>
          <w:color w:val="000000"/>
          <w:sz w:val="24"/>
        </w:rPr>
        <w:t>0.88%</w:t>
      </w:r>
      <w:r w:rsidRPr="00DF18FE">
        <w:rPr>
          <w:color w:val="000000"/>
          <w:sz w:val="24"/>
        </w:rPr>
        <w:t>；同期业绩比较基准收益率为</w:t>
      </w:r>
      <w:r w:rsidRPr="00DF18FE">
        <w:rPr>
          <w:color w:val="000000"/>
          <w:sz w:val="24"/>
        </w:rPr>
        <w:t>0.64%</w:t>
      </w:r>
      <w:r w:rsidRPr="00DF18FE">
        <w:rPr>
          <w:color w:val="000000"/>
          <w:sz w:val="24"/>
        </w:rPr>
        <w:t>。</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5  </w:t>
      </w:r>
      <w:r w:rsidRPr="0078105B">
        <w:rPr>
          <w:rFonts w:ascii="宋体" w:hAnsi="宋体" w:cs="Arial" w:hint="eastAsia"/>
          <w:color w:val="000000"/>
          <w:kern w:val="0"/>
          <w:sz w:val="24"/>
          <w:szCs w:val="24"/>
        </w:rPr>
        <w:t>投资组合报告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5.1 </w:t>
      </w:r>
      <w:r w:rsidRPr="0078105B">
        <w:rPr>
          <w:rFonts w:ascii="宋体" w:hAnsi="宋体" w:cs="Arial" w:hint="eastAsia"/>
          <w:b/>
          <w:color w:val="000000"/>
          <w:kern w:val="0"/>
          <w:sz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335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项目</w:t>
            </w:r>
          </w:p>
        </w:tc>
        <w:tc>
          <w:tcPr>
            <w:tcW w:w="297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金额</w:t>
            </w:r>
            <w:r w:rsidRPr="00FA472B">
              <w:rPr>
                <w:color w:val="000000"/>
                <w:sz w:val="24"/>
              </w:rPr>
              <w:t>(</w:t>
            </w:r>
            <w:r w:rsidRPr="00FA472B">
              <w:rPr>
                <w:color w:val="000000"/>
                <w:sz w:val="24"/>
              </w:rPr>
              <w:t>元</w:t>
            </w:r>
            <w:r w:rsidRPr="00FA472B">
              <w:rPr>
                <w:color w:val="000000"/>
                <w:sz w:val="24"/>
              </w:rPr>
              <w:t>)</w:t>
            </w:r>
          </w:p>
        </w:tc>
        <w:tc>
          <w:tcPr>
            <w:tcW w:w="184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占基金总资产的比例</w:t>
            </w: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1</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权益投资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其中：股票</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2</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固定收益投资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2,904,285,585.90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97.13</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其中：债券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2,874,288,585.90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96.13</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autoSpaceDE w:val="0"/>
              <w:autoSpaceDN w:val="0"/>
              <w:adjustRightInd w:val="0"/>
              <w:spacing w:before="29" w:line="360" w:lineRule="auto"/>
              <w:ind w:left="17"/>
              <w:jc w:val="left"/>
              <w:rPr>
                <w:color w:val="000000"/>
                <w:sz w:val="24"/>
              </w:rPr>
            </w:pPr>
            <w:r w:rsidRPr="00FA472B">
              <w:rPr>
                <w:color w:val="000000"/>
                <w:sz w:val="24"/>
              </w:rPr>
              <w:t>资产支持证券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29,997,000.00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1.00</w:t>
            </w:r>
          </w:p>
        </w:tc>
      </w:tr>
      <w:tr w:rsidR="00F016DD" w:rsidRPr="00264E55" w:rsidTr="00F4518C">
        <w:trPr>
          <w:jc w:val="center"/>
        </w:trPr>
        <w:tc>
          <w:tcPr>
            <w:tcW w:w="720" w:type="dxa"/>
          </w:tcPr>
          <w:p w:rsidR="00F016DD" w:rsidRPr="00FA472B" w:rsidRDefault="00F016DD" w:rsidP="00F4518C">
            <w:pPr>
              <w:spacing w:before="29" w:line="360" w:lineRule="auto"/>
              <w:ind w:left="17"/>
              <w:jc w:val="center"/>
              <w:rPr>
                <w:color w:val="000000"/>
                <w:sz w:val="24"/>
              </w:rPr>
            </w:pPr>
            <w:r w:rsidRPr="00FA472B">
              <w:rPr>
                <w:color w:val="000000"/>
                <w:sz w:val="24"/>
              </w:rPr>
              <w:t>3</w:t>
            </w:r>
          </w:p>
        </w:tc>
        <w:tc>
          <w:tcPr>
            <w:tcW w:w="3357" w:type="dxa"/>
          </w:tcPr>
          <w:p w:rsidR="00F016DD" w:rsidRPr="00FA472B" w:rsidRDefault="00F016DD" w:rsidP="00174038">
            <w:pPr>
              <w:spacing w:before="29" w:line="360" w:lineRule="auto"/>
              <w:ind w:leftChars="50" w:left="105"/>
              <w:rPr>
                <w:color w:val="000000"/>
                <w:sz w:val="24"/>
              </w:rPr>
            </w:pPr>
            <w:r w:rsidRPr="00FA472B">
              <w:rPr>
                <w:color w:val="000000"/>
                <w:sz w:val="24"/>
              </w:rPr>
              <w:t>贵金属投资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4</w:t>
            </w:r>
          </w:p>
        </w:tc>
        <w:tc>
          <w:tcPr>
            <w:tcW w:w="3357" w:type="dxa"/>
            <w:vAlign w:val="center"/>
          </w:tcPr>
          <w:p w:rsidR="00F016DD" w:rsidRPr="00FA472B" w:rsidRDefault="00F016DD" w:rsidP="00F4518C">
            <w:pPr>
              <w:spacing w:before="29" w:line="360" w:lineRule="auto"/>
              <w:ind w:left="17"/>
              <w:jc w:val="left"/>
              <w:rPr>
                <w:color w:val="000000"/>
                <w:sz w:val="24"/>
              </w:rPr>
            </w:pPr>
            <w:r w:rsidRPr="00FA472B">
              <w:rPr>
                <w:color w:val="000000"/>
                <w:sz w:val="24"/>
              </w:rPr>
              <w:t>金融衍生品投资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5</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其中：买断式回购的买入返售金融资产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6</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银行存款和结算备付金合计</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42,240,376.67</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1.41</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7</w:t>
            </w:r>
          </w:p>
        </w:tc>
        <w:tc>
          <w:tcPr>
            <w:tcW w:w="3357" w:type="dxa"/>
            <w:vAlign w:val="center"/>
          </w:tcPr>
          <w:p w:rsidR="00F016DD" w:rsidRPr="00FA472B" w:rsidRDefault="00F016DD" w:rsidP="00F4518C">
            <w:pPr>
              <w:jc w:val="left"/>
              <w:rPr>
                <w:sz w:val="24"/>
              </w:rPr>
            </w:pPr>
            <w:r w:rsidRPr="00FA472B">
              <w:rPr>
                <w:color w:val="000000"/>
                <w:sz w:val="24"/>
              </w:rPr>
              <w:t>其他资产</w:t>
            </w:r>
          </w:p>
        </w:tc>
        <w:tc>
          <w:tcPr>
            <w:tcW w:w="2977" w:type="dxa"/>
            <w:vAlign w:val="center"/>
          </w:tcPr>
          <w:p w:rsidR="00F016DD" w:rsidRPr="00FA472B" w:rsidRDefault="00F016DD" w:rsidP="00F4518C">
            <w:pPr>
              <w:jc w:val="right"/>
              <w:rPr>
                <w:color w:val="000000"/>
                <w:sz w:val="24"/>
              </w:rPr>
            </w:pPr>
            <w:r w:rsidRPr="00FA472B">
              <w:rPr>
                <w:color w:val="000000"/>
                <w:sz w:val="24"/>
              </w:rPr>
              <w:t>43,492,372.23</w:t>
            </w:r>
          </w:p>
        </w:tc>
        <w:tc>
          <w:tcPr>
            <w:tcW w:w="1843" w:type="dxa"/>
            <w:vAlign w:val="center"/>
          </w:tcPr>
          <w:p w:rsidR="00F016DD" w:rsidRPr="00FA472B" w:rsidRDefault="00F016DD" w:rsidP="00F4518C">
            <w:pPr>
              <w:jc w:val="right"/>
              <w:rPr>
                <w:color w:val="000000"/>
                <w:sz w:val="24"/>
              </w:rPr>
            </w:pPr>
            <w:r w:rsidRPr="00FA472B">
              <w:rPr>
                <w:color w:val="000000"/>
                <w:sz w:val="24"/>
              </w:rPr>
              <w:t>1.45</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8</w:t>
            </w:r>
          </w:p>
        </w:tc>
        <w:tc>
          <w:tcPr>
            <w:tcW w:w="3357" w:type="dxa"/>
            <w:vAlign w:val="center"/>
          </w:tcPr>
          <w:p w:rsidR="00F016DD" w:rsidRPr="00FA472B" w:rsidRDefault="00F016DD" w:rsidP="00F4518C">
            <w:pPr>
              <w:jc w:val="left"/>
              <w:rPr>
                <w:sz w:val="24"/>
              </w:rPr>
            </w:pPr>
            <w:r w:rsidRPr="00FA472B">
              <w:rPr>
                <w:color w:val="000000"/>
                <w:sz w:val="24"/>
              </w:rPr>
              <w:t>合计</w:t>
            </w:r>
          </w:p>
        </w:tc>
        <w:tc>
          <w:tcPr>
            <w:tcW w:w="2977" w:type="dxa"/>
            <w:vAlign w:val="center"/>
          </w:tcPr>
          <w:p w:rsidR="00F016DD" w:rsidRPr="00FA472B" w:rsidRDefault="00F016DD" w:rsidP="00F4518C">
            <w:pPr>
              <w:jc w:val="right"/>
              <w:rPr>
                <w:color w:val="000000"/>
                <w:sz w:val="24"/>
              </w:rPr>
            </w:pPr>
            <w:r w:rsidRPr="00FA472B">
              <w:rPr>
                <w:color w:val="000000"/>
                <w:sz w:val="24"/>
              </w:rPr>
              <w:t>2,990,018,334.80</w:t>
            </w:r>
          </w:p>
        </w:tc>
        <w:tc>
          <w:tcPr>
            <w:tcW w:w="1843" w:type="dxa"/>
            <w:vAlign w:val="center"/>
          </w:tcPr>
          <w:p w:rsidR="00F016DD" w:rsidRPr="00FA472B" w:rsidRDefault="00F016DD" w:rsidP="00F4518C">
            <w:pPr>
              <w:jc w:val="right"/>
              <w:rPr>
                <w:color w:val="000000"/>
                <w:sz w:val="24"/>
              </w:rPr>
            </w:pPr>
            <w:r w:rsidRPr="00FA472B">
              <w:rPr>
                <w:color w:val="000000"/>
                <w:sz w:val="24"/>
              </w:rPr>
              <w:t>100.00</w:t>
            </w:r>
          </w:p>
        </w:tc>
      </w:tr>
    </w:tbl>
    <w:p w:rsidR="00874AA3" w:rsidRPr="00C70969" w:rsidRDefault="00874AA3" w:rsidP="00B54884">
      <w:pPr>
        <w:autoSpaceDE w:val="0"/>
        <w:autoSpaceDN w:val="0"/>
        <w:adjustRightInd w:val="0"/>
        <w:spacing w:beforeLines="100" w:before="312" w:line="360" w:lineRule="auto"/>
        <w:jc w:val="left"/>
        <w:rPr>
          <w:rFonts w:eastAsiaTheme="minorEastAsia"/>
          <w:b/>
          <w:color w:val="000000" w:themeColor="text1"/>
          <w:kern w:val="0"/>
          <w:sz w:val="24"/>
        </w:rPr>
      </w:pPr>
      <w:r w:rsidRPr="00C70969">
        <w:rPr>
          <w:rFonts w:eastAsiaTheme="minorEastAsia"/>
          <w:b/>
          <w:color w:val="000000" w:themeColor="text1"/>
          <w:kern w:val="0"/>
          <w:sz w:val="24"/>
        </w:rPr>
        <w:t xml:space="preserve">5.2 </w:t>
      </w:r>
      <w:r w:rsidRPr="00C70969">
        <w:rPr>
          <w:rFonts w:eastAsiaTheme="minorEastAsia"/>
          <w:b/>
          <w:color w:val="000000" w:themeColor="text1"/>
          <w:kern w:val="0"/>
          <w:sz w:val="24"/>
        </w:rPr>
        <w:t>报告期末按行业分类的股票投资组合</w:t>
      </w:r>
    </w:p>
    <w:p w:rsidR="00874AA3" w:rsidRPr="00C70969" w:rsidRDefault="00874AA3" w:rsidP="00874AA3">
      <w:pPr>
        <w:rPr>
          <w:b/>
          <w:sz w:val="24"/>
        </w:rPr>
      </w:pPr>
      <w:r w:rsidRPr="00C70969">
        <w:rPr>
          <w:b/>
          <w:sz w:val="24"/>
        </w:rPr>
        <w:t xml:space="preserve"> </w:t>
      </w:r>
      <w:r w:rsidRPr="00C70969">
        <w:rPr>
          <w:rFonts w:eastAsiaTheme="minorEastAsia"/>
          <w:b/>
          <w:color w:val="000000" w:themeColor="text1"/>
          <w:kern w:val="0"/>
          <w:sz w:val="24"/>
        </w:rPr>
        <w:t>5.2.1</w:t>
      </w:r>
      <w:r w:rsidRPr="00C70969">
        <w:rPr>
          <w:rFonts w:eastAsiaTheme="minorEastAsia"/>
          <w:b/>
          <w:color w:val="000000" w:themeColor="text1"/>
          <w:kern w:val="0"/>
          <w:sz w:val="24"/>
        </w:rPr>
        <w:t>报告期末按行业分类的境内股票投资组合</w:t>
      </w:r>
    </w:p>
    <w:p w:rsidR="00874AA3" w:rsidRPr="00EA6415" w:rsidRDefault="00874AA3" w:rsidP="00EA6415">
      <w:pPr>
        <w:spacing w:line="360" w:lineRule="auto"/>
        <w:ind w:firstLineChars="200" w:firstLine="480"/>
        <w:rPr>
          <w:color w:val="000000"/>
          <w:sz w:val="24"/>
        </w:rPr>
      </w:pPr>
      <w:r w:rsidRPr="00EA6415">
        <w:rPr>
          <w:color w:val="000000"/>
          <w:sz w:val="24"/>
        </w:rPr>
        <w:t>本基金本报告期末未持有境内股票。</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5.3 </w:t>
      </w:r>
      <w:r w:rsidRPr="0078105B">
        <w:rPr>
          <w:rFonts w:ascii="宋体" w:hAnsi="宋体" w:cs="Arial" w:hint="eastAsia"/>
          <w:b/>
          <w:color w:val="000000"/>
          <w:kern w:val="0"/>
          <w:sz w:val="24"/>
        </w:rPr>
        <w:t>报告期末按公允价值占基金资产净值比例大小排序的前十名股票投资明细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本基金本报告期末未持有股票。</w:t>
      </w:r>
    </w:p>
    <w:p w:rsidR="006A1153" w:rsidRPr="006A1153" w:rsidRDefault="00F016DD" w:rsidP="00B54884">
      <w:pPr>
        <w:autoSpaceDE w:val="0"/>
        <w:autoSpaceDN w:val="0"/>
        <w:adjustRightInd w:val="0"/>
        <w:spacing w:beforeLines="100" w:before="312" w:line="360" w:lineRule="auto"/>
        <w:jc w:val="left"/>
        <w:rPr>
          <w:rFonts w:eastAsiaTheme="minorEastAsia"/>
          <w:b/>
          <w:color w:val="000000" w:themeColor="text1"/>
          <w:kern w:val="0"/>
          <w:sz w:val="24"/>
        </w:rPr>
      </w:pPr>
      <w:r w:rsidRPr="0078105B">
        <w:rPr>
          <w:rFonts w:ascii="宋体" w:hAnsi="宋体" w:cs="Arial"/>
          <w:b/>
          <w:color w:val="000000"/>
          <w:kern w:val="0"/>
          <w:sz w:val="24"/>
        </w:rPr>
        <w:t xml:space="preserve">5.4 </w:t>
      </w:r>
      <w:r w:rsidRPr="0078105B">
        <w:rPr>
          <w:rFonts w:ascii="宋体" w:hAnsi="宋体" w:cs="Arial" w:hint="eastAsia"/>
          <w:b/>
          <w:color w:val="000000"/>
          <w:kern w:val="0"/>
          <w:sz w:val="24"/>
        </w:rPr>
        <w:t>报告期末按债券品种分类的债券投资组合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835"/>
        <w:gridCol w:w="1616"/>
      </w:tblGrid>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序号</w:t>
            </w:r>
          </w:p>
        </w:tc>
        <w:tc>
          <w:tcPr>
            <w:tcW w:w="3260"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债券品种</w:t>
            </w:r>
          </w:p>
        </w:tc>
        <w:tc>
          <w:tcPr>
            <w:tcW w:w="2835"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公允价值</w:t>
            </w:r>
            <w:r w:rsidRPr="006A1153">
              <w:rPr>
                <w:rFonts w:eastAsiaTheme="minorEastAsia"/>
                <w:color w:val="000000" w:themeColor="text1"/>
                <w:sz w:val="24"/>
              </w:rPr>
              <w:t>(</w:t>
            </w:r>
            <w:r w:rsidRPr="006A1153">
              <w:rPr>
                <w:rFonts w:eastAsiaTheme="minorEastAsia"/>
                <w:color w:val="000000" w:themeColor="text1"/>
                <w:sz w:val="24"/>
              </w:rPr>
              <w:t>元</w:t>
            </w: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占基金资产净值比例</w:t>
            </w:r>
            <w:r w:rsidRPr="006A1153">
              <w:rPr>
                <w:rFonts w:eastAsiaTheme="minorEastAsia"/>
                <w:color w:val="000000" w:themeColor="text1"/>
                <w:sz w:val="24"/>
              </w:rPr>
              <w:t>(</w:t>
            </w:r>
            <w:r w:rsidRPr="006A1153">
              <w:rPr>
                <w:rFonts w:eastAsiaTheme="minorEastAsia"/>
                <w:color w:val="000000" w:themeColor="text1"/>
                <w:sz w:val="24"/>
              </w:rPr>
              <w:t>％</w:t>
            </w: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国家债券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lastRenderedPageBreak/>
              <w:t>2</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央行票据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3</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金融债券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其中：政策性金融债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4</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1,509,031,585.90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75.29</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5</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企业短期融资券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315,930,000.00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15.76</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6</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中期票据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1,049,327,000.00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52.35</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7</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可转债</w:t>
            </w:r>
            <w:r w:rsidR="00524368" w:rsidRPr="00524368">
              <w:rPr>
                <w:rFonts w:eastAsiaTheme="minorEastAsia" w:hint="eastAsia"/>
                <w:color w:val="000000" w:themeColor="text1"/>
                <w:sz w:val="24"/>
              </w:rPr>
              <w:t>（可交换债）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8</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同业存单</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9</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其他</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10</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合计</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2,874,288,585.90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143.40</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5.5 </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的前五名债券投资明细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1559"/>
        <w:gridCol w:w="1985"/>
        <w:gridCol w:w="1559"/>
        <w:gridCol w:w="2126"/>
        <w:gridCol w:w="990"/>
      </w:tblGrid>
      <w:tr w:rsidR="00F016DD" w:rsidRPr="0078105B" w:rsidTr="00CA7FF7">
        <w:tc>
          <w:tcPr>
            <w:tcW w:w="802"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债券代码</w:t>
            </w:r>
          </w:p>
        </w:tc>
        <w:tc>
          <w:tcPr>
            <w:tcW w:w="198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债券名称</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数量（张）</w:t>
            </w:r>
          </w:p>
        </w:tc>
        <w:tc>
          <w:tcPr>
            <w:tcW w:w="2126"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990"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p>
        </w:tc>
      </w:tr>
      <w:tr w:rsidR="00DB36E5">
        <w:tc>
          <w:tcPr>
            <w:tcW w:w="802" w:type="dxa"/>
            <w:vAlign w:val="center"/>
          </w:tcPr>
          <w:p w:rsidR="00DB36E5" w:rsidRDefault="001C67CD">
            <w:pPr>
              <w:jc w:val="center"/>
            </w:pPr>
            <w:r>
              <w:rPr>
                <w:color w:val="000000"/>
                <w:sz w:val="24"/>
              </w:rPr>
              <w:t>1</w:t>
            </w:r>
          </w:p>
        </w:tc>
        <w:tc>
          <w:tcPr>
            <w:tcW w:w="1559" w:type="dxa"/>
            <w:vAlign w:val="center"/>
          </w:tcPr>
          <w:p w:rsidR="00DB36E5" w:rsidRDefault="001C67CD">
            <w:pPr>
              <w:jc w:val="center"/>
            </w:pPr>
            <w:r>
              <w:rPr>
                <w:color w:val="000000"/>
                <w:sz w:val="24"/>
              </w:rPr>
              <w:t>101900308</w:t>
            </w:r>
          </w:p>
        </w:tc>
        <w:tc>
          <w:tcPr>
            <w:tcW w:w="1985" w:type="dxa"/>
            <w:vAlign w:val="center"/>
          </w:tcPr>
          <w:p w:rsidR="00DB36E5" w:rsidRDefault="001C67CD">
            <w:pPr>
              <w:jc w:val="center"/>
            </w:pPr>
            <w:r>
              <w:rPr>
                <w:color w:val="000000"/>
                <w:sz w:val="24"/>
              </w:rPr>
              <w:t>19</w:t>
            </w:r>
            <w:r>
              <w:rPr>
                <w:color w:val="000000"/>
                <w:sz w:val="24"/>
              </w:rPr>
              <w:t>重汽</w:t>
            </w:r>
            <w:r>
              <w:rPr>
                <w:color w:val="000000"/>
                <w:sz w:val="24"/>
              </w:rPr>
              <w:t>MTN002</w:t>
            </w:r>
          </w:p>
        </w:tc>
        <w:tc>
          <w:tcPr>
            <w:tcW w:w="1559" w:type="dxa"/>
            <w:vAlign w:val="center"/>
          </w:tcPr>
          <w:p w:rsidR="00DB36E5" w:rsidRDefault="001C67CD">
            <w:pPr>
              <w:jc w:val="right"/>
            </w:pPr>
            <w:r>
              <w:rPr>
                <w:color w:val="000000"/>
                <w:sz w:val="24"/>
              </w:rPr>
              <w:t>800,000</w:t>
            </w:r>
          </w:p>
        </w:tc>
        <w:tc>
          <w:tcPr>
            <w:tcW w:w="2126" w:type="dxa"/>
            <w:vAlign w:val="center"/>
          </w:tcPr>
          <w:p w:rsidR="00DB36E5" w:rsidRDefault="001C67CD">
            <w:pPr>
              <w:jc w:val="right"/>
            </w:pPr>
            <w:r>
              <w:rPr>
                <w:color w:val="000000"/>
                <w:sz w:val="24"/>
              </w:rPr>
              <w:t>79,840,000.00</w:t>
            </w:r>
          </w:p>
        </w:tc>
        <w:tc>
          <w:tcPr>
            <w:tcW w:w="990" w:type="dxa"/>
            <w:vAlign w:val="center"/>
          </w:tcPr>
          <w:p w:rsidR="00DB36E5" w:rsidRDefault="001C67CD">
            <w:pPr>
              <w:jc w:val="right"/>
            </w:pPr>
            <w:r>
              <w:rPr>
                <w:color w:val="000000"/>
                <w:sz w:val="24"/>
              </w:rPr>
              <w:t>3.98</w:t>
            </w:r>
          </w:p>
        </w:tc>
      </w:tr>
      <w:tr w:rsidR="00DB36E5">
        <w:tc>
          <w:tcPr>
            <w:tcW w:w="802" w:type="dxa"/>
            <w:vAlign w:val="center"/>
          </w:tcPr>
          <w:p w:rsidR="00DB36E5" w:rsidRDefault="001C67CD">
            <w:pPr>
              <w:jc w:val="center"/>
            </w:pPr>
            <w:r>
              <w:rPr>
                <w:color w:val="000000"/>
                <w:sz w:val="24"/>
              </w:rPr>
              <w:t>2</w:t>
            </w:r>
          </w:p>
        </w:tc>
        <w:tc>
          <w:tcPr>
            <w:tcW w:w="1559" w:type="dxa"/>
            <w:vAlign w:val="center"/>
          </w:tcPr>
          <w:p w:rsidR="00DB36E5" w:rsidRDefault="001C67CD">
            <w:pPr>
              <w:jc w:val="center"/>
            </w:pPr>
            <w:r>
              <w:rPr>
                <w:color w:val="000000"/>
                <w:sz w:val="24"/>
              </w:rPr>
              <w:t>101901075</w:t>
            </w:r>
          </w:p>
        </w:tc>
        <w:tc>
          <w:tcPr>
            <w:tcW w:w="1985" w:type="dxa"/>
            <w:vAlign w:val="center"/>
          </w:tcPr>
          <w:p w:rsidR="00DB36E5" w:rsidRDefault="001C67CD">
            <w:pPr>
              <w:jc w:val="center"/>
            </w:pPr>
            <w:r>
              <w:rPr>
                <w:color w:val="000000"/>
                <w:sz w:val="24"/>
              </w:rPr>
              <w:t>19</w:t>
            </w:r>
            <w:r>
              <w:rPr>
                <w:color w:val="000000"/>
                <w:sz w:val="24"/>
              </w:rPr>
              <w:t>吉利</w:t>
            </w:r>
            <w:r>
              <w:rPr>
                <w:color w:val="000000"/>
                <w:sz w:val="24"/>
              </w:rPr>
              <w:t>MTN002</w:t>
            </w:r>
          </w:p>
        </w:tc>
        <w:tc>
          <w:tcPr>
            <w:tcW w:w="1559" w:type="dxa"/>
            <w:vAlign w:val="center"/>
          </w:tcPr>
          <w:p w:rsidR="00DB36E5" w:rsidRDefault="001C67CD">
            <w:pPr>
              <w:jc w:val="right"/>
            </w:pPr>
            <w:r>
              <w:rPr>
                <w:color w:val="000000"/>
                <w:sz w:val="24"/>
              </w:rPr>
              <w:t>800,000</w:t>
            </w:r>
          </w:p>
        </w:tc>
        <w:tc>
          <w:tcPr>
            <w:tcW w:w="2126" w:type="dxa"/>
            <w:vAlign w:val="center"/>
          </w:tcPr>
          <w:p w:rsidR="00DB36E5" w:rsidRDefault="001C67CD">
            <w:pPr>
              <w:jc w:val="right"/>
            </w:pPr>
            <w:r>
              <w:rPr>
                <w:color w:val="000000"/>
                <w:sz w:val="24"/>
              </w:rPr>
              <w:t>79,712,000.00</w:t>
            </w:r>
          </w:p>
        </w:tc>
        <w:tc>
          <w:tcPr>
            <w:tcW w:w="990" w:type="dxa"/>
            <w:vAlign w:val="center"/>
          </w:tcPr>
          <w:p w:rsidR="00DB36E5" w:rsidRDefault="001C67CD">
            <w:pPr>
              <w:jc w:val="right"/>
            </w:pPr>
            <w:r>
              <w:rPr>
                <w:color w:val="000000"/>
                <w:sz w:val="24"/>
              </w:rPr>
              <w:t>3.98</w:t>
            </w:r>
          </w:p>
        </w:tc>
      </w:tr>
      <w:tr w:rsidR="00DB36E5">
        <w:tc>
          <w:tcPr>
            <w:tcW w:w="802" w:type="dxa"/>
            <w:vAlign w:val="center"/>
          </w:tcPr>
          <w:p w:rsidR="00DB36E5" w:rsidRDefault="001C67CD">
            <w:pPr>
              <w:jc w:val="center"/>
            </w:pPr>
            <w:r>
              <w:rPr>
                <w:color w:val="000000"/>
                <w:sz w:val="24"/>
              </w:rPr>
              <w:t>3</w:t>
            </w:r>
          </w:p>
        </w:tc>
        <w:tc>
          <w:tcPr>
            <w:tcW w:w="1559" w:type="dxa"/>
            <w:vAlign w:val="center"/>
          </w:tcPr>
          <w:p w:rsidR="00DB36E5" w:rsidRDefault="001C67CD">
            <w:pPr>
              <w:jc w:val="center"/>
            </w:pPr>
            <w:r>
              <w:rPr>
                <w:color w:val="000000"/>
                <w:sz w:val="24"/>
              </w:rPr>
              <w:t>155444</w:t>
            </w:r>
          </w:p>
        </w:tc>
        <w:tc>
          <w:tcPr>
            <w:tcW w:w="1985" w:type="dxa"/>
            <w:vAlign w:val="center"/>
          </w:tcPr>
          <w:p w:rsidR="00DB36E5" w:rsidRDefault="001C67CD">
            <w:pPr>
              <w:jc w:val="center"/>
            </w:pPr>
            <w:r>
              <w:rPr>
                <w:color w:val="000000"/>
                <w:sz w:val="24"/>
              </w:rPr>
              <w:t>19</w:t>
            </w:r>
            <w:r>
              <w:rPr>
                <w:color w:val="000000"/>
                <w:sz w:val="24"/>
              </w:rPr>
              <w:t>津投</w:t>
            </w:r>
            <w:r>
              <w:rPr>
                <w:color w:val="000000"/>
                <w:sz w:val="24"/>
              </w:rPr>
              <w:t>13</w:t>
            </w:r>
          </w:p>
        </w:tc>
        <w:tc>
          <w:tcPr>
            <w:tcW w:w="1559" w:type="dxa"/>
            <w:vAlign w:val="center"/>
          </w:tcPr>
          <w:p w:rsidR="00DB36E5" w:rsidRDefault="001C67CD">
            <w:pPr>
              <w:jc w:val="right"/>
            </w:pPr>
            <w:r>
              <w:rPr>
                <w:color w:val="000000"/>
                <w:sz w:val="24"/>
              </w:rPr>
              <w:t>700,000</w:t>
            </w:r>
          </w:p>
        </w:tc>
        <w:tc>
          <w:tcPr>
            <w:tcW w:w="2126" w:type="dxa"/>
            <w:vAlign w:val="center"/>
          </w:tcPr>
          <w:p w:rsidR="00DB36E5" w:rsidRDefault="001C67CD">
            <w:pPr>
              <w:jc w:val="right"/>
            </w:pPr>
            <w:r>
              <w:rPr>
                <w:color w:val="000000"/>
                <w:sz w:val="24"/>
              </w:rPr>
              <w:t>70,714,000.00</w:t>
            </w:r>
          </w:p>
        </w:tc>
        <w:tc>
          <w:tcPr>
            <w:tcW w:w="990" w:type="dxa"/>
            <w:vAlign w:val="center"/>
          </w:tcPr>
          <w:p w:rsidR="00DB36E5" w:rsidRDefault="001C67CD">
            <w:pPr>
              <w:jc w:val="right"/>
            </w:pPr>
            <w:r>
              <w:rPr>
                <w:color w:val="000000"/>
                <w:sz w:val="24"/>
              </w:rPr>
              <w:t>3.53</w:t>
            </w:r>
          </w:p>
        </w:tc>
      </w:tr>
      <w:tr w:rsidR="00DB36E5">
        <w:tc>
          <w:tcPr>
            <w:tcW w:w="802" w:type="dxa"/>
            <w:vAlign w:val="center"/>
          </w:tcPr>
          <w:p w:rsidR="00DB36E5" w:rsidRDefault="001C67CD">
            <w:pPr>
              <w:jc w:val="center"/>
            </w:pPr>
            <w:r>
              <w:rPr>
                <w:color w:val="000000"/>
                <w:sz w:val="24"/>
              </w:rPr>
              <w:t>4</w:t>
            </w:r>
          </w:p>
        </w:tc>
        <w:tc>
          <w:tcPr>
            <w:tcW w:w="1559" w:type="dxa"/>
            <w:vAlign w:val="center"/>
          </w:tcPr>
          <w:p w:rsidR="00DB36E5" w:rsidRDefault="001C67CD">
            <w:pPr>
              <w:jc w:val="center"/>
            </w:pPr>
            <w:r>
              <w:rPr>
                <w:color w:val="000000"/>
                <w:sz w:val="24"/>
              </w:rPr>
              <w:t>155612</w:t>
            </w:r>
          </w:p>
        </w:tc>
        <w:tc>
          <w:tcPr>
            <w:tcW w:w="1985" w:type="dxa"/>
            <w:vAlign w:val="center"/>
          </w:tcPr>
          <w:p w:rsidR="00DB36E5" w:rsidRDefault="001C67CD">
            <w:pPr>
              <w:jc w:val="center"/>
            </w:pPr>
            <w:r>
              <w:rPr>
                <w:color w:val="000000"/>
                <w:sz w:val="24"/>
              </w:rPr>
              <w:t>19</w:t>
            </w:r>
            <w:r>
              <w:rPr>
                <w:color w:val="000000"/>
                <w:sz w:val="24"/>
              </w:rPr>
              <w:t>中车</w:t>
            </w:r>
            <w:r>
              <w:rPr>
                <w:color w:val="000000"/>
                <w:sz w:val="24"/>
              </w:rPr>
              <w:t>G1</w:t>
            </w:r>
          </w:p>
        </w:tc>
        <w:tc>
          <w:tcPr>
            <w:tcW w:w="1559" w:type="dxa"/>
            <w:vAlign w:val="center"/>
          </w:tcPr>
          <w:p w:rsidR="00DB36E5" w:rsidRDefault="001C67CD">
            <w:pPr>
              <w:jc w:val="right"/>
            </w:pPr>
            <w:r>
              <w:rPr>
                <w:color w:val="000000"/>
                <w:sz w:val="24"/>
              </w:rPr>
              <w:t>700,000</w:t>
            </w:r>
          </w:p>
        </w:tc>
        <w:tc>
          <w:tcPr>
            <w:tcW w:w="2126" w:type="dxa"/>
            <w:vAlign w:val="center"/>
          </w:tcPr>
          <w:p w:rsidR="00DB36E5" w:rsidRDefault="001C67CD">
            <w:pPr>
              <w:jc w:val="right"/>
            </w:pPr>
            <w:r>
              <w:rPr>
                <w:color w:val="000000"/>
                <w:sz w:val="24"/>
              </w:rPr>
              <w:t>69,713,000.00</w:t>
            </w:r>
          </w:p>
        </w:tc>
        <w:tc>
          <w:tcPr>
            <w:tcW w:w="990" w:type="dxa"/>
            <w:vAlign w:val="center"/>
          </w:tcPr>
          <w:p w:rsidR="00DB36E5" w:rsidRDefault="001C67CD">
            <w:pPr>
              <w:jc w:val="right"/>
            </w:pPr>
            <w:r>
              <w:rPr>
                <w:color w:val="000000"/>
                <w:sz w:val="24"/>
              </w:rPr>
              <w:t>3.48</w:t>
            </w:r>
          </w:p>
        </w:tc>
      </w:tr>
      <w:tr w:rsidR="00DB36E5">
        <w:tc>
          <w:tcPr>
            <w:tcW w:w="802" w:type="dxa"/>
            <w:vAlign w:val="center"/>
          </w:tcPr>
          <w:p w:rsidR="00DB36E5" w:rsidRDefault="001C67CD">
            <w:pPr>
              <w:jc w:val="center"/>
            </w:pPr>
            <w:r>
              <w:rPr>
                <w:color w:val="000000"/>
                <w:sz w:val="24"/>
              </w:rPr>
              <w:t>5</w:t>
            </w:r>
          </w:p>
        </w:tc>
        <w:tc>
          <w:tcPr>
            <w:tcW w:w="1559" w:type="dxa"/>
            <w:vAlign w:val="center"/>
          </w:tcPr>
          <w:p w:rsidR="00DB36E5" w:rsidRDefault="001C67CD">
            <w:pPr>
              <w:jc w:val="center"/>
            </w:pPr>
            <w:r>
              <w:rPr>
                <w:color w:val="000000"/>
                <w:sz w:val="24"/>
              </w:rPr>
              <w:t>101901095</w:t>
            </w:r>
          </w:p>
        </w:tc>
        <w:tc>
          <w:tcPr>
            <w:tcW w:w="1985" w:type="dxa"/>
            <w:vAlign w:val="center"/>
          </w:tcPr>
          <w:p w:rsidR="00DB36E5" w:rsidRDefault="001C67CD">
            <w:pPr>
              <w:jc w:val="center"/>
            </w:pPr>
            <w:r>
              <w:rPr>
                <w:color w:val="000000"/>
                <w:sz w:val="24"/>
              </w:rPr>
              <w:t>19</w:t>
            </w:r>
            <w:r>
              <w:rPr>
                <w:color w:val="000000"/>
                <w:sz w:val="24"/>
              </w:rPr>
              <w:t>西南水泥</w:t>
            </w:r>
            <w:r>
              <w:rPr>
                <w:color w:val="000000"/>
                <w:sz w:val="24"/>
              </w:rPr>
              <w:t>MTN003</w:t>
            </w:r>
          </w:p>
        </w:tc>
        <w:tc>
          <w:tcPr>
            <w:tcW w:w="1559" w:type="dxa"/>
            <w:vAlign w:val="center"/>
          </w:tcPr>
          <w:p w:rsidR="00DB36E5" w:rsidRDefault="001C67CD">
            <w:pPr>
              <w:jc w:val="right"/>
            </w:pPr>
            <w:r>
              <w:rPr>
                <w:color w:val="000000"/>
                <w:sz w:val="24"/>
              </w:rPr>
              <w:t>600,000</w:t>
            </w:r>
          </w:p>
        </w:tc>
        <w:tc>
          <w:tcPr>
            <w:tcW w:w="2126" w:type="dxa"/>
            <w:vAlign w:val="center"/>
          </w:tcPr>
          <w:p w:rsidR="00DB36E5" w:rsidRDefault="001C67CD">
            <w:pPr>
              <w:jc w:val="right"/>
            </w:pPr>
            <w:r>
              <w:rPr>
                <w:color w:val="000000"/>
                <w:sz w:val="24"/>
              </w:rPr>
              <w:t>59,916,000.00</w:t>
            </w:r>
          </w:p>
        </w:tc>
        <w:tc>
          <w:tcPr>
            <w:tcW w:w="990" w:type="dxa"/>
            <w:vAlign w:val="center"/>
          </w:tcPr>
          <w:p w:rsidR="00DB36E5" w:rsidRDefault="001C67CD">
            <w:pPr>
              <w:jc w:val="right"/>
            </w:pPr>
            <w:r>
              <w:rPr>
                <w:color w:val="000000"/>
                <w:sz w:val="24"/>
              </w:rPr>
              <w:t>2.99</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5.6</w:t>
      </w:r>
      <w:r w:rsidRPr="0078105B">
        <w:rPr>
          <w:rFonts w:ascii="宋体" w:hAnsi="宋体" w:cs="Arial" w:hint="eastAsia"/>
          <w:b/>
          <w:color w:val="000000"/>
          <w:kern w:val="0"/>
          <w:sz w:val="24"/>
        </w:rPr>
        <w:t xml:space="preserve">　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的前十名资产支持证券投资明细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7"/>
        <w:gridCol w:w="1329"/>
        <w:gridCol w:w="1263"/>
        <w:gridCol w:w="1815"/>
        <w:gridCol w:w="1698"/>
        <w:gridCol w:w="1729"/>
      </w:tblGrid>
      <w:tr w:rsidR="00F016DD" w:rsidRPr="0078105B" w:rsidTr="00174038">
        <w:tc>
          <w:tcPr>
            <w:tcW w:w="1187"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32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证券代码</w:t>
            </w:r>
          </w:p>
        </w:tc>
        <w:tc>
          <w:tcPr>
            <w:tcW w:w="1263"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证券名称</w:t>
            </w:r>
          </w:p>
        </w:tc>
        <w:tc>
          <w:tcPr>
            <w:tcW w:w="181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w:t>
            </w:r>
            <w:r w:rsidRPr="00FA472B">
              <w:rPr>
                <w:color w:val="000000"/>
                <w:kern w:val="0"/>
                <w:sz w:val="24"/>
              </w:rPr>
              <w:t>(</w:t>
            </w:r>
            <w:r w:rsidRPr="00FA472B">
              <w:rPr>
                <w:color w:val="000000"/>
                <w:kern w:val="0"/>
                <w:sz w:val="24"/>
              </w:rPr>
              <w:t>份</w:t>
            </w:r>
            <w:r w:rsidRPr="00FA472B">
              <w:rPr>
                <w:color w:val="000000"/>
                <w:kern w:val="0"/>
                <w:sz w:val="24"/>
              </w:rPr>
              <w:t>)</w:t>
            </w:r>
          </w:p>
        </w:tc>
        <w:tc>
          <w:tcPr>
            <w:tcW w:w="1698"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172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r w:rsidRPr="00FA472B">
              <w:rPr>
                <w:color w:val="000000"/>
                <w:kern w:val="0"/>
                <w:sz w:val="24"/>
              </w:rPr>
              <w:t>%</w:t>
            </w:r>
            <w:r w:rsidRPr="00FA472B">
              <w:rPr>
                <w:color w:val="000000"/>
                <w:kern w:val="0"/>
                <w:sz w:val="24"/>
              </w:rPr>
              <w:t>）</w:t>
            </w:r>
          </w:p>
        </w:tc>
      </w:tr>
      <w:tr w:rsidR="00DB36E5">
        <w:tc>
          <w:tcPr>
            <w:tcW w:w="0" w:type="auto"/>
            <w:vAlign w:val="center"/>
          </w:tcPr>
          <w:p w:rsidR="00DB36E5" w:rsidRDefault="001C67CD">
            <w:pPr>
              <w:jc w:val="center"/>
            </w:pPr>
            <w:r>
              <w:rPr>
                <w:color w:val="000000"/>
                <w:sz w:val="24"/>
              </w:rPr>
              <w:t>1</w:t>
            </w:r>
          </w:p>
        </w:tc>
        <w:tc>
          <w:tcPr>
            <w:tcW w:w="0" w:type="auto"/>
            <w:vAlign w:val="center"/>
          </w:tcPr>
          <w:p w:rsidR="00DB36E5" w:rsidRDefault="001C67CD">
            <w:pPr>
              <w:jc w:val="center"/>
            </w:pPr>
            <w:r>
              <w:rPr>
                <w:color w:val="000000"/>
                <w:sz w:val="24"/>
              </w:rPr>
              <w:t>159690</w:t>
            </w:r>
          </w:p>
        </w:tc>
        <w:tc>
          <w:tcPr>
            <w:tcW w:w="0" w:type="auto"/>
            <w:vAlign w:val="center"/>
          </w:tcPr>
          <w:p w:rsidR="00DB36E5" w:rsidRDefault="001C67CD">
            <w:pPr>
              <w:jc w:val="center"/>
            </w:pPr>
            <w:r>
              <w:rPr>
                <w:color w:val="000000"/>
                <w:sz w:val="24"/>
              </w:rPr>
              <w:t>璀璨</w:t>
            </w:r>
            <w:r>
              <w:rPr>
                <w:color w:val="000000"/>
                <w:sz w:val="24"/>
              </w:rPr>
              <w:t>10A</w:t>
            </w:r>
          </w:p>
        </w:tc>
        <w:tc>
          <w:tcPr>
            <w:tcW w:w="0" w:type="auto"/>
            <w:vAlign w:val="center"/>
          </w:tcPr>
          <w:p w:rsidR="00DB36E5" w:rsidRDefault="001C67CD">
            <w:pPr>
              <w:jc w:val="right"/>
            </w:pPr>
            <w:r>
              <w:rPr>
                <w:color w:val="000000"/>
                <w:sz w:val="24"/>
              </w:rPr>
              <w:t>300,000</w:t>
            </w:r>
          </w:p>
        </w:tc>
        <w:tc>
          <w:tcPr>
            <w:tcW w:w="0" w:type="auto"/>
            <w:vAlign w:val="center"/>
          </w:tcPr>
          <w:p w:rsidR="00DB36E5" w:rsidRDefault="001C67CD">
            <w:pPr>
              <w:jc w:val="right"/>
            </w:pPr>
            <w:r>
              <w:rPr>
                <w:color w:val="000000"/>
                <w:sz w:val="24"/>
              </w:rPr>
              <w:t>29,997,000.00</w:t>
            </w:r>
          </w:p>
        </w:tc>
        <w:tc>
          <w:tcPr>
            <w:tcW w:w="0" w:type="auto"/>
            <w:vAlign w:val="center"/>
          </w:tcPr>
          <w:p w:rsidR="00DB36E5" w:rsidRDefault="001C67CD">
            <w:pPr>
              <w:jc w:val="right"/>
            </w:pPr>
            <w:r>
              <w:rPr>
                <w:color w:val="000000"/>
                <w:sz w:val="24"/>
              </w:rPr>
              <w:t>1.50</w:t>
            </w:r>
          </w:p>
        </w:tc>
      </w:tr>
    </w:tbl>
    <w:p w:rsidR="00F016DD" w:rsidRPr="001D63BB" w:rsidRDefault="00F016DD" w:rsidP="006D462B">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本基金本报告期末未持有贵金属。</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78105B">
        <w:rPr>
          <w:rFonts w:ascii="宋体" w:cs="Arial"/>
          <w:b/>
          <w:color w:val="000000"/>
          <w:kern w:val="0"/>
          <w:sz w:val="24"/>
        </w:rPr>
        <w:t>.</w:t>
      </w:r>
      <w:r>
        <w:rPr>
          <w:rFonts w:ascii="宋体" w:hAnsi="宋体" w:cs="Arial"/>
          <w:b/>
          <w:color w:val="000000"/>
          <w:kern w:val="0"/>
          <w:sz w:val="24"/>
        </w:rPr>
        <w:t>8</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的前五名权证投资明细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本基金本报告期末未持有权证。</w:t>
      </w:r>
    </w:p>
    <w:p w:rsidR="00F016DD" w:rsidRPr="00E85E29" w:rsidRDefault="00F016DD" w:rsidP="001D5CD0">
      <w:pPr>
        <w:adjustRightInd w:val="0"/>
        <w:snapToGrid w:val="0"/>
        <w:spacing w:line="360" w:lineRule="auto"/>
        <w:rPr>
          <w:rFonts w:ascii="宋体"/>
          <w:b/>
          <w:sz w:val="24"/>
        </w:rPr>
      </w:pPr>
      <w:r>
        <w:rPr>
          <w:rFonts w:ascii="宋体" w:hAnsi="宋体"/>
          <w:b/>
          <w:sz w:val="24"/>
        </w:rPr>
        <w:t>5.</w:t>
      </w:r>
      <w:r w:rsidRPr="00E85E29">
        <w:rPr>
          <w:rFonts w:ascii="宋体"/>
          <w:b/>
          <w:sz w:val="24"/>
        </w:rPr>
        <w:t>9</w:t>
      </w:r>
      <w:r w:rsidRPr="00E85E29">
        <w:rPr>
          <w:rFonts w:ascii="宋体" w:hAnsi="宋体" w:hint="eastAsia"/>
          <w:b/>
          <w:sz w:val="24"/>
        </w:rPr>
        <w:t>报告期末本基金投资的股指期货交易情况说明</w:t>
      </w:r>
    </w:p>
    <w:p w:rsidR="001F60E9" w:rsidRDefault="001F60E9" w:rsidP="001F60E9">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F016DD" w:rsidRPr="00E85E29" w:rsidRDefault="00F016DD" w:rsidP="001D5CD0">
      <w:pPr>
        <w:adjustRightInd w:val="0"/>
        <w:snapToGrid w:val="0"/>
        <w:spacing w:line="360" w:lineRule="auto"/>
        <w:rPr>
          <w:rFonts w:ascii="宋体"/>
          <w:b/>
          <w:sz w:val="24"/>
        </w:rPr>
      </w:pPr>
      <w:r w:rsidRPr="00E85E29">
        <w:rPr>
          <w:rFonts w:ascii="宋体" w:hAnsi="宋体"/>
          <w:b/>
          <w:sz w:val="24"/>
        </w:rPr>
        <w:lastRenderedPageBreak/>
        <w:t>5.10</w:t>
      </w:r>
      <w:r w:rsidRPr="00E85E29">
        <w:rPr>
          <w:rFonts w:ascii="宋体" w:hAnsi="宋体" w:hint="eastAsia"/>
          <w:b/>
          <w:sz w:val="24"/>
        </w:rPr>
        <w:t>报告期末本基金投资的国债期货交易情况说明</w:t>
      </w:r>
    </w:p>
    <w:p w:rsidR="00B249C0" w:rsidRDefault="00B249C0" w:rsidP="00B249C0">
      <w:pPr>
        <w:spacing w:line="360" w:lineRule="auto"/>
        <w:ind w:firstLineChars="200" w:firstLine="480"/>
      </w:pPr>
      <w:r>
        <w:rPr>
          <w:color w:val="000000"/>
          <w:sz w:val="24"/>
        </w:rPr>
        <w:t>本基金本报告期末未投资国债期货。</w:t>
      </w:r>
    </w:p>
    <w:p w:rsidR="00F016DD" w:rsidRPr="00E85E29" w:rsidRDefault="00F016DD" w:rsidP="001D5CD0">
      <w:pPr>
        <w:autoSpaceDE w:val="0"/>
        <w:autoSpaceDN w:val="0"/>
        <w:adjustRightInd w:val="0"/>
        <w:spacing w:line="360" w:lineRule="auto"/>
        <w:jc w:val="left"/>
        <w:rPr>
          <w:rFonts w:ascii="宋体" w:cs="Arial"/>
          <w:b/>
          <w:kern w:val="0"/>
          <w:sz w:val="24"/>
        </w:rPr>
      </w:pPr>
      <w:r w:rsidRPr="00E85E29">
        <w:rPr>
          <w:rFonts w:ascii="宋体" w:hAnsi="宋体" w:cs="Arial"/>
          <w:b/>
          <w:kern w:val="0"/>
          <w:sz w:val="24"/>
        </w:rPr>
        <w:t>5.11</w:t>
      </w:r>
      <w:r w:rsidRPr="00E85E29">
        <w:rPr>
          <w:rFonts w:ascii="宋体" w:hAnsi="宋体" w:cs="Arial" w:hint="eastAsia"/>
          <w:b/>
          <w:kern w:val="0"/>
          <w:sz w:val="24"/>
        </w:rPr>
        <w:t>投资组合报告附注</w:t>
      </w:r>
    </w:p>
    <w:p w:rsidR="00F016DD" w:rsidRPr="00414367" w:rsidRDefault="00F016DD" w:rsidP="006456D3">
      <w:pPr>
        <w:widowControl/>
        <w:spacing w:line="360" w:lineRule="auto"/>
        <w:rPr>
          <w:color w:val="000000"/>
          <w:sz w:val="24"/>
        </w:rPr>
      </w:pPr>
      <w:r w:rsidRPr="00414367">
        <w:rPr>
          <w:color w:val="000000"/>
          <w:sz w:val="24"/>
        </w:rPr>
        <w:t>5.11.1</w:t>
      </w:r>
      <w:r w:rsidRPr="00414367">
        <w:rPr>
          <w:color w:val="000000"/>
          <w:sz w:val="24"/>
        </w:rPr>
        <w:t>本基金投资的前十名证券的发行主体本期没有出现被监管部门立案调查，或在报告编制日前一年内受到公开谴责、处罚的情形。</w:t>
      </w:r>
    </w:p>
    <w:p w:rsidR="00F016DD" w:rsidRPr="00414367" w:rsidRDefault="00F016DD" w:rsidP="006456D3">
      <w:pPr>
        <w:widowControl/>
        <w:spacing w:line="360" w:lineRule="auto"/>
        <w:rPr>
          <w:color w:val="000000"/>
          <w:sz w:val="24"/>
        </w:rPr>
      </w:pPr>
      <w:r w:rsidRPr="00414367">
        <w:rPr>
          <w:color w:val="000000"/>
          <w:sz w:val="24"/>
        </w:rPr>
        <w:t>5.11.2</w:t>
      </w:r>
      <w:r w:rsidRPr="00414367">
        <w:rPr>
          <w:color w:val="000000"/>
          <w:sz w:val="24"/>
        </w:rPr>
        <w:t>本基金本报告期没有投资股票，因此不存在投资的前十名股票超出基金合同规定的备选股票库情况。</w:t>
      </w:r>
    </w:p>
    <w:p w:rsidR="00F016DD" w:rsidRPr="00414367" w:rsidRDefault="00F016DD" w:rsidP="001D5CD0">
      <w:pPr>
        <w:autoSpaceDE w:val="0"/>
        <w:autoSpaceDN w:val="0"/>
        <w:adjustRightInd w:val="0"/>
        <w:spacing w:line="360" w:lineRule="auto"/>
        <w:rPr>
          <w:kern w:val="0"/>
          <w:sz w:val="24"/>
        </w:rPr>
      </w:pPr>
      <w:r w:rsidRPr="00414367">
        <w:rPr>
          <w:kern w:val="0"/>
          <w:sz w:val="24"/>
        </w:rPr>
        <w:t>5.11.3</w:t>
      </w:r>
      <w:r w:rsidRPr="00414367">
        <w:rPr>
          <w:kern w:val="0"/>
          <w:sz w:val="24"/>
        </w:rPr>
        <w:t>其他资产构成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761"/>
        <w:gridCol w:w="4808"/>
      </w:tblGrid>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序号</w:t>
            </w:r>
          </w:p>
        </w:tc>
        <w:tc>
          <w:tcPr>
            <w:tcW w:w="2761"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名称</w:t>
            </w:r>
          </w:p>
        </w:tc>
        <w:tc>
          <w:tcPr>
            <w:tcW w:w="4808"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金额</w:t>
            </w:r>
            <w:r w:rsidRPr="00FA472B">
              <w:rPr>
                <w:color w:val="000000"/>
                <w:kern w:val="0"/>
                <w:sz w:val="24"/>
              </w:rPr>
              <w:t>(</w:t>
            </w:r>
            <w:r w:rsidRPr="00FA472B">
              <w:rPr>
                <w:color w:val="000000"/>
                <w:kern w:val="0"/>
                <w:sz w:val="24"/>
              </w:rPr>
              <w:t>元</w:t>
            </w: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kern w:val="0"/>
                <w:sz w:val="24"/>
              </w:rPr>
            </w:pPr>
            <w:r w:rsidRPr="00FA472B">
              <w:rPr>
                <w:color w:val="000000"/>
                <w:sz w:val="24"/>
              </w:rPr>
              <w:t>1</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存出保证金</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59,065.19</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2</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应收证券清算款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32,070.25</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3</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应收股利</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4</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应收利息</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43,401,236.79</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5</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应收申购款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6</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其他应收款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7</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sz w:val="24"/>
              </w:rPr>
            </w:pPr>
            <w:r w:rsidRPr="00FA472B">
              <w:rPr>
                <w:color w:val="000000"/>
                <w:sz w:val="24"/>
              </w:rPr>
              <w:t>待摊费用</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sz w:val="24"/>
              </w:rPr>
            </w:pPr>
            <w:r w:rsidRPr="00FA472B">
              <w:rPr>
                <w:color w:val="00000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8</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9</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合计</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43,492,372.23</w:t>
            </w:r>
          </w:p>
        </w:tc>
      </w:tr>
    </w:tbl>
    <w:p w:rsidR="00F016DD" w:rsidRPr="00E7356F" w:rsidRDefault="00F016DD" w:rsidP="001D5CD0">
      <w:pPr>
        <w:autoSpaceDE w:val="0"/>
        <w:autoSpaceDN w:val="0"/>
        <w:adjustRightInd w:val="0"/>
        <w:spacing w:line="360" w:lineRule="auto"/>
        <w:jc w:val="left"/>
        <w:rPr>
          <w:rFonts w:ascii="宋体" w:cs="Arial"/>
          <w:kern w:val="0"/>
          <w:sz w:val="24"/>
        </w:rPr>
      </w:pPr>
      <w:r w:rsidRPr="00E7356F">
        <w:rPr>
          <w:rFonts w:ascii="宋体" w:hAnsi="宋体" w:cs="Arial"/>
          <w:kern w:val="0"/>
          <w:sz w:val="24"/>
        </w:rPr>
        <w:t>5.11.4</w:t>
      </w:r>
      <w:r w:rsidRPr="00E7356F">
        <w:rPr>
          <w:rFonts w:ascii="宋体" w:hAnsi="宋体" w:cs="Arial" w:hint="eastAsia"/>
          <w:kern w:val="0"/>
          <w:sz w:val="24"/>
        </w:rPr>
        <w:t>报告期末持有的处于转股期的可转换债券明细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本基金本报告期末未持有处于转股期的可转换债券。</w:t>
      </w:r>
    </w:p>
    <w:p w:rsidR="00F016DD" w:rsidRPr="00E7356F" w:rsidRDefault="00F016DD" w:rsidP="001D5CD0">
      <w:pPr>
        <w:autoSpaceDE w:val="0"/>
        <w:autoSpaceDN w:val="0"/>
        <w:adjustRightInd w:val="0"/>
        <w:spacing w:line="360" w:lineRule="auto"/>
        <w:jc w:val="left"/>
        <w:rPr>
          <w:rFonts w:ascii="宋体"/>
          <w:bCs/>
          <w:sz w:val="24"/>
        </w:rPr>
      </w:pPr>
      <w:r w:rsidRPr="00E7356F">
        <w:rPr>
          <w:rFonts w:ascii="宋体" w:hAnsi="宋体" w:cs="Arial"/>
          <w:kern w:val="0"/>
          <w:sz w:val="24"/>
        </w:rPr>
        <w:t>5.11.5</w:t>
      </w:r>
      <w:r w:rsidRPr="00E7356F">
        <w:rPr>
          <w:rFonts w:ascii="宋体" w:hAnsi="宋体" w:hint="eastAsia"/>
          <w:bCs/>
          <w:sz w:val="24"/>
        </w:rPr>
        <w:t>报告期末前十名股票中存在流通受限情况的说明</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本基金本报告期末未持有股票。</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6  </w:t>
      </w:r>
      <w:r w:rsidRPr="0078105B">
        <w:rPr>
          <w:rFonts w:ascii="宋体" w:hAnsi="宋体" w:cs="Arial" w:hint="eastAsia"/>
          <w:color w:val="000000"/>
          <w:kern w:val="0"/>
          <w:sz w:val="24"/>
          <w:szCs w:val="24"/>
        </w:rPr>
        <w:t>开放式基金份额变动</w:t>
      </w:r>
    </w:p>
    <w:p w:rsidR="00F016DD" w:rsidRPr="00FA472B" w:rsidRDefault="00F016DD" w:rsidP="00302187">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3900"/>
        <w:gridCol w:w="2367"/>
        <w:gridCol w:w="2367"/>
      </w:tblGrid>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84643">
            <w:pPr>
              <w:autoSpaceDE w:val="0"/>
              <w:autoSpaceDN w:val="0"/>
              <w:adjustRightInd w:val="0"/>
              <w:spacing w:before="29" w:line="360" w:lineRule="auto"/>
              <w:ind w:left="17"/>
              <w:jc w:val="center"/>
              <w:rPr>
                <w:color w:val="000000"/>
                <w:kern w:val="0"/>
                <w:sz w:val="24"/>
              </w:rPr>
            </w:pPr>
            <w:r w:rsidRPr="00FA472B">
              <w:rPr>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sz w:val="24"/>
              </w:rPr>
              <w:t>易方达纯债</w:t>
            </w:r>
            <w:r w:rsidRPr="00FA472B">
              <w:rPr>
                <w:sz w:val="24"/>
              </w:rPr>
              <w:t>1</w:t>
            </w:r>
            <w:r w:rsidRPr="00FA472B">
              <w:rPr>
                <w:sz w:val="24"/>
              </w:rPr>
              <w:t>年定期开放债券</w:t>
            </w:r>
            <w:r w:rsidRPr="00FA472B">
              <w:rPr>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sz w:val="24"/>
              </w:rPr>
              <w:t>易方达纯债</w:t>
            </w:r>
            <w:r w:rsidRPr="00FA472B">
              <w:rPr>
                <w:sz w:val="24"/>
              </w:rPr>
              <w:t>1</w:t>
            </w:r>
            <w:r w:rsidRPr="00FA472B">
              <w:rPr>
                <w:sz w:val="24"/>
              </w:rPr>
              <w:t>年定期开放债券</w:t>
            </w:r>
            <w:r w:rsidRPr="00FA472B">
              <w:rPr>
                <w:sz w:val="24"/>
              </w:rPr>
              <w:t>C</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1,179,610,552.80</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15,296,168.49</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lastRenderedPageBreak/>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980,234,766.06</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2,736,812.34</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242,136,946.09</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2,505,096.35</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57BCF">
            <w:pPr>
              <w:autoSpaceDE w:val="0"/>
              <w:autoSpaceDN w:val="0"/>
              <w:adjustRightInd w:val="0"/>
              <w:spacing w:before="29" w:line="360" w:lineRule="auto"/>
              <w:ind w:left="17"/>
              <w:jc w:val="right"/>
              <w:rPr>
                <w:color w:val="000000"/>
                <w:sz w:val="24"/>
              </w:rPr>
            </w:pPr>
            <w:r w:rsidRPr="00FA472B">
              <w:rPr>
                <w:color w:val="000000"/>
                <w:sz w:val="24"/>
              </w:rPr>
              <w:t>1,917,708,372.77</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15,527,884.48</w:t>
            </w:r>
          </w:p>
        </w:tc>
      </w:tr>
    </w:tbl>
    <w:p w:rsidR="00F016DD" w:rsidRDefault="00F016DD" w:rsidP="00B54884">
      <w:pPr>
        <w:pStyle w:val="1"/>
        <w:tabs>
          <w:tab w:val="center" w:pos="4156"/>
          <w:tab w:val="right" w:pos="8312"/>
        </w:tabs>
        <w:spacing w:beforeLines="100" w:before="312" w:afterLines="100" w:after="312" w:line="360" w:lineRule="auto"/>
        <w:jc w:val="center"/>
        <w:rPr>
          <w:rFonts w:ascii="方正仿宋简体"/>
          <w:sz w:val="24"/>
          <w:szCs w:val="24"/>
        </w:rPr>
      </w:pPr>
      <w:r w:rsidRPr="00AB67DE">
        <w:rPr>
          <w:rFonts w:ascii="宋体" w:hAnsi="宋体" w:cs="Arial" w:hint="eastAsia"/>
          <w:color w:val="000000"/>
          <w:kern w:val="0"/>
          <w:sz w:val="24"/>
          <w:szCs w:val="24"/>
        </w:rPr>
        <w:t>§</w:t>
      </w:r>
      <w:r w:rsidRPr="00AB67DE">
        <w:rPr>
          <w:rFonts w:ascii="宋体" w:cs="Arial"/>
          <w:color w:val="000000"/>
          <w:kern w:val="0"/>
          <w:sz w:val="24"/>
          <w:szCs w:val="24"/>
        </w:rPr>
        <w:t>7</w:t>
      </w:r>
      <w:r w:rsidR="0066098B" w:rsidRPr="0078105B">
        <w:rPr>
          <w:rFonts w:ascii="宋体" w:hAnsi="宋体" w:cs="Arial"/>
          <w:color w:val="000000"/>
          <w:kern w:val="0"/>
          <w:sz w:val="24"/>
          <w:szCs w:val="24"/>
        </w:rPr>
        <w:t xml:space="preserve">  </w:t>
      </w:r>
      <w:r w:rsidRPr="0016464C">
        <w:rPr>
          <w:rFonts w:ascii="方正仿宋简体" w:hint="eastAsia"/>
          <w:sz w:val="24"/>
          <w:szCs w:val="24"/>
        </w:rPr>
        <w:t>基金管理人运用固有资金投资本基金情况</w:t>
      </w:r>
    </w:p>
    <w:p w:rsidR="00F016DD" w:rsidRPr="00B76BBB" w:rsidRDefault="00F016DD" w:rsidP="00935FB1">
      <w:pPr>
        <w:spacing w:line="360" w:lineRule="auto"/>
        <w:jc w:val="left"/>
        <w:rPr>
          <w:sz w:val="24"/>
        </w:rPr>
      </w:pPr>
      <w:r>
        <w:rPr>
          <w:b/>
          <w:sz w:val="24"/>
        </w:rPr>
        <w:t xml:space="preserve">7.1 </w:t>
      </w:r>
      <w:r>
        <w:rPr>
          <w:rFonts w:hint="eastAsia"/>
          <w:b/>
          <w:sz w:val="24"/>
        </w:rPr>
        <w:t>基</w:t>
      </w:r>
      <w:r w:rsidRPr="00B404F1">
        <w:rPr>
          <w:rFonts w:hint="eastAsia"/>
          <w:b/>
          <w:sz w:val="24"/>
        </w:rPr>
        <w:t>金管理人持有本基金份额变动情况</w:t>
      </w:r>
    </w:p>
    <w:p w:rsidR="00F016DD" w:rsidRPr="00DF18FE" w:rsidRDefault="00CC78C7" w:rsidP="00DF18FE">
      <w:pPr>
        <w:spacing w:line="360" w:lineRule="auto"/>
        <w:ind w:firstLineChars="200" w:firstLine="480"/>
        <w:rPr>
          <w:color w:val="000000"/>
          <w:sz w:val="24"/>
        </w:rPr>
      </w:pPr>
      <w:r w:rsidRPr="00DF18FE">
        <w:rPr>
          <w:color w:val="000000"/>
          <w:sz w:val="24"/>
        </w:rPr>
        <w:t>本报告期内基金管理人未持有本基金份额。</w:t>
      </w:r>
    </w:p>
    <w:p w:rsidR="00F016DD" w:rsidRPr="00B76BBB" w:rsidRDefault="00F016DD" w:rsidP="00935FB1">
      <w:pPr>
        <w:spacing w:line="360" w:lineRule="auto"/>
        <w:jc w:val="left"/>
        <w:rPr>
          <w:sz w:val="24"/>
        </w:rPr>
      </w:pPr>
      <w:r>
        <w:rPr>
          <w:b/>
          <w:sz w:val="24"/>
        </w:rPr>
        <w:t xml:space="preserve">7.2 </w:t>
      </w:r>
      <w:r>
        <w:rPr>
          <w:rFonts w:hint="eastAsia"/>
          <w:b/>
          <w:sz w:val="24"/>
        </w:rPr>
        <w:t>基</w:t>
      </w:r>
      <w:r w:rsidRPr="00B404F1">
        <w:rPr>
          <w:rFonts w:hint="eastAsia"/>
          <w:b/>
          <w:sz w:val="24"/>
        </w:rPr>
        <w:t>金管理人运用固有资金投资本基金交易明细</w:t>
      </w:r>
    </w:p>
    <w:p w:rsidR="00F016DD" w:rsidRPr="00DF18FE" w:rsidRDefault="00F016DD" w:rsidP="00DF18FE">
      <w:pPr>
        <w:spacing w:line="360" w:lineRule="auto"/>
        <w:ind w:firstLineChars="200" w:firstLine="480"/>
        <w:rPr>
          <w:color w:val="000000"/>
          <w:sz w:val="24"/>
        </w:rPr>
      </w:pPr>
      <w:r w:rsidRPr="00DF18FE">
        <w:rPr>
          <w:color w:val="000000"/>
          <w:sz w:val="24"/>
        </w:rPr>
        <w:t>本报告期内基金管理人未运用固有资金申购、赎回、买卖本基金份额。</w:t>
      </w:r>
    </w:p>
    <w:p w:rsidR="00997454" w:rsidRPr="00B75F09" w:rsidRDefault="00997454" w:rsidP="00997454">
      <w:pPr>
        <w:pStyle w:val="1"/>
        <w:spacing w:beforeLines="100" w:before="312" w:afterLines="100" w:after="312" w:line="360" w:lineRule="auto"/>
        <w:jc w:val="center"/>
        <w:rPr>
          <w:rFonts w:ascii="宋体" w:hAnsi="宋体" w:cs="Arial"/>
          <w:color w:val="000000"/>
          <w:kern w:val="0"/>
          <w:sz w:val="24"/>
          <w:szCs w:val="24"/>
        </w:rPr>
      </w:pPr>
      <w:r w:rsidRPr="00B75F09">
        <w:rPr>
          <w:rFonts w:ascii="宋体" w:hAnsi="宋体" w:cs="Arial"/>
          <w:color w:val="000000"/>
          <w:kern w:val="0"/>
          <w:sz w:val="24"/>
          <w:szCs w:val="24"/>
        </w:rPr>
        <w:t>§8</w:t>
      </w:r>
      <w:r w:rsidR="0066098B" w:rsidRPr="0078105B">
        <w:rPr>
          <w:rFonts w:ascii="宋体" w:hAnsi="宋体" w:cs="Arial"/>
          <w:color w:val="000000"/>
          <w:kern w:val="0"/>
          <w:sz w:val="24"/>
          <w:szCs w:val="24"/>
        </w:rPr>
        <w:t xml:space="preserve">  </w:t>
      </w:r>
      <w:r w:rsidRPr="00B75F09">
        <w:rPr>
          <w:rFonts w:ascii="宋体" w:hAnsi="宋体" w:cs="Arial"/>
          <w:color w:val="000000"/>
          <w:kern w:val="0"/>
          <w:sz w:val="24"/>
          <w:szCs w:val="24"/>
        </w:rPr>
        <w:t>影响投资者决策的其他重要信息</w:t>
      </w:r>
    </w:p>
    <w:p w:rsidR="00575C75" w:rsidRPr="001F5F5D" w:rsidRDefault="00575C75" w:rsidP="00575C75">
      <w:pPr>
        <w:autoSpaceDE w:val="0"/>
        <w:autoSpaceDN w:val="0"/>
        <w:adjustRightInd w:val="0"/>
        <w:spacing w:line="360" w:lineRule="auto"/>
        <w:jc w:val="left"/>
        <w:rPr>
          <w:rFonts w:ascii="宋体"/>
          <w:b/>
          <w:bCs/>
          <w:color w:val="000000"/>
          <w:kern w:val="0"/>
          <w:sz w:val="24"/>
        </w:rPr>
      </w:pPr>
      <w:r w:rsidRPr="001F5F5D">
        <w:rPr>
          <w:rFonts w:ascii="宋体"/>
          <w:b/>
          <w:bCs/>
          <w:color w:val="000000"/>
          <w:kern w:val="0"/>
          <w:sz w:val="24"/>
        </w:rPr>
        <w:t>8.1 报告期内单一投资者持有基金份额比例达到或超过20%的情况</w:t>
      </w:r>
    </w:p>
    <w:tbl>
      <w:tblPr>
        <w:tblStyle w:val="af2"/>
        <w:tblW w:w="9640" w:type="dxa"/>
        <w:jc w:val="center"/>
        <w:tblLayout w:type="fixed"/>
        <w:tblLook w:val="04A0" w:firstRow="1" w:lastRow="0" w:firstColumn="1" w:lastColumn="0" w:noHBand="0" w:noVBand="1"/>
      </w:tblPr>
      <w:tblGrid>
        <w:gridCol w:w="709"/>
        <w:gridCol w:w="709"/>
        <w:gridCol w:w="2126"/>
        <w:gridCol w:w="1276"/>
        <w:gridCol w:w="1276"/>
        <w:gridCol w:w="1276"/>
        <w:gridCol w:w="1417"/>
        <w:gridCol w:w="851"/>
      </w:tblGrid>
      <w:tr w:rsidR="00575C75" w:rsidRPr="00FC0759" w:rsidTr="00CD72D6">
        <w:trPr>
          <w:jc w:val="center"/>
        </w:trPr>
        <w:tc>
          <w:tcPr>
            <w:tcW w:w="709" w:type="dxa"/>
            <w:vMerge w:val="restart"/>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投资者类别</w:t>
            </w:r>
          </w:p>
        </w:tc>
        <w:tc>
          <w:tcPr>
            <w:tcW w:w="6663" w:type="dxa"/>
            <w:gridSpan w:val="5"/>
            <w:vAlign w:val="center"/>
          </w:tcPr>
          <w:p w:rsidR="00575C75" w:rsidRPr="00FC0759" w:rsidRDefault="00575C75" w:rsidP="00CD72D6">
            <w:pPr>
              <w:autoSpaceDE w:val="0"/>
              <w:autoSpaceDN w:val="0"/>
              <w:adjustRightInd w:val="0"/>
              <w:ind w:firstLine="1126"/>
              <w:jc w:val="center"/>
              <w:rPr>
                <w:rFonts w:eastAsiaTheme="minorEastAsia"/>
                <w:b/>
                <w:bCs/>
                <w:color w:val="000000" w:themeColor="text1"/>
                <w:sz w:val="24"/>
              </w:rPr>
            </w:pPr>
            <w:r w:rsidRPr="00FC0759">
              <w:rPr>
                <w:color w:val="000000"/>
                <w:sz w:val="24"/>
              </w:rPr>
              <w:t>报告期内持有基金份额变化情况</w:t>
            </w:r>
          </w:p>
        </w:tc>
        <w:tc>
          <w:tcPr>
            <w:tcW w:w="2268" w:type="dxa"/>
            <w:gridSpan w:val="2"/>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报告期末持有基金情况</w:t>
            </w:r>
          </w:p>
        </w:tc>
      </w:tr>
      <w:tr w:rsidR="00575C75" w:rsidRPr="00FC0759" w:rsidTr="00CD72D6">
        <w:trPr>
          <w:jc w:val="center"/>
        </w:trPr>
        <w:tc>
          <w:tcPr>
            <w:tcW w:w="709" w:type="dxa"/>
            <w:vMerge/>
            <w:vAlign w:val="center"/>
          </w:tcPr>
          <w:p w:rsidR="00575C75" w:rsidRPr="00FC0759" w:rsidRDefault="00575C75" w:rsidP="00CD72D6">
            <w:pPr>
              <w:autoSpaceDE w:val="0"/>
              <w:autoSpaceDN w:val="0"/>
              <w:adjustRightInd w:val="0"/>
              <w:ind w:firstLine="1234"/>
              <w:jc w:val="center"/>
              <w:rPr>
                <w:rFonts w:eastAsiaTheme="minorEastAsia"/>
                <w:b/>
                <w:bCs/>
                <w:color w:val="000000" w:themeColor="text1"/>
                <w:sz w:val="24"/>
              </w:rPr>
            </w:pPr>
          </w:p>
        </w:tc>
        <w:tc>
          <w:tcPr>
            <w:tcW w:w="709"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序号</w:t>
            </w:r>
          </w:p>
        </w:tc>
        <w:tc>
          <w:tcPr>
            <w:tcW w:w="2126"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持有基金份额比例达到或者超过</w:t>
            </w:r>
            <w:r w:rsidRPr="00FC0759">
              <w:rPr>
                <w:color w:val="000000"/>
                <w:sz w:val="24"/>
              </w:rPr>
              <w:t>20%</w:t>
            </w:r>
            <w:r w:rsidRPr="00FC0759">
              <w:rPr>
                <w:color w:val="000000"/>
                <w:sz w:val="24"/>
              </w:rPr>
              <w:t>的时间区间</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期初份额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申购份额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赎回份额</w:t>
            </w:r>
          </w:p>
        </w:tc>
        <w:tc>
          <w:tcPr>
            <w:tcW w:w="1417"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持有份额</w:t>
            </w:r>
          </w:p>
        </w:tc>
        <w:tc>
          <w:tcPr>
            <w:tcW w:w="851"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份额占比</w:t>
            </w:r>
          </w:p>
        </w:tc>
      </w:tr>
      <w:tr w:rsidR="00DB36E5">
        <w:trPr>
          <w:jc w:val="center"/>
        </w:trPr>
        <w:tc>
          <w:tcPr>
            <w:tcW w:w="709" w:type="dxa"/>
            <w:vMerge w:val="restart"/>
            <w:vAlign w:val="center"/>
          </w:tcPr>
          <w:p w:rsidR="00DB36E5" w:rsidRDefault="001C67CD">
            <w:r>
              <w:rPr>
                <w:rFonts w:eastAsiaTheme="minorEastAsia"/>
                <w:bCs/>
                <w:color w:val="000000" w:themeColor="text1"/>
                <w:sz w:val="24"/>
              </w:rPr>
              <w:t>机构</w:t>
            </w:r>
          </w:p>
        </w:tc>
        <w:tc>
          <w:tcPr>
            <w:tcW w:w="709" w:type="dxa"/>
            <w:vAlign w:val="center"/>
          </w:tcPr>
          <w:p w:rsidR="00DB36E5" w:rsidRDefault="001C67CD">
            <w:pPr>
              <w:jc w:val="center"/>
            </w:pPr>
            <w:r>
              <w:rPr>
                <w:sz w:val="24"/>
              </w:rPr>
              <w:t>1</w:t>
            </w:r>
          </w:p>
        </w:tc>
        <w:tc>
          <w:tcPr>
            <w:tcW w:w="2126" w:type="dxa"/>
            <w:vAlign w:val="center"/>
          </w:tcPr>
          <w:p w:rsidR="00DB36E5" w:rsidRDefault="001C67CD">
            <w:pPr>
              <w:jc w:val="center"/>
            </w:pPr>
            <w:r>
              <w:rPr>
                <w:sz w:val="24"/>
              </w:rPr>
              <w:t>2019</w:t>
            </w:r>
            <w:r>
              <w:rPr>
                <w:sz w:val="24"/>
              </w:rPr>
              <w:t>年</w:t>
            </w:r>
            <w:r>
              <w:rPr>
                <w:sz w:val="24"/>
              </w:rPr>
              <w:t>07</w:t>
            </w:r>
            <w:r>
              <w:rPr>
                <w:sz w:val="24"/>
              </w:rPr>
              <w:t>月</w:t>
            </w:r>
            <w:r>
              <w:rPr>
                <w:sz w:val="24"/>
              </w:rPr>
              <w:t>01</w:t>
            </w:r>
            <w:r>
              <w:rPr>
                <w:sz w:val="24"/>
              </w:rPr>
              <w:t>日</w:t>
            </w:r>
            <w:r>
              <w:rPr>
                <w:sz w:val="24"/>
              </w:rPr>
              <w:t>~2019</w:t>
            </w:r>
            <w:r>
              <w:rPr>
                <w:sz w:val="24"/>
              </w:rPr>
              <w:t>年</w:t>
            </w:r>
            <w:r>
              <w:rPr>
                <w:sz w:val="24"/>
              </w:rPr>
              <w:t>08</w:t>
            </w:r>
            <w:r>
              <w:rPr>
                <w:sz w:val="24"/>
              </w:rPr>
              <w:t>月</w:t>
            </w:r>
            <w:r>
              <w:rPr>
                <w:sz w:val="24"/>
              </w:rPr>
              <w:t>06</w:t>
            </w:r>
            <w:r>
              <w:rPr>
                <w:sz w:val="24"/>
              </w:rPr>
              <w:t>日</w:t>
            </w:r>
            <w:r>
              <w:rPr>
                <w:sz w:val="24"/>
              </w:rPr>
              <w:t>,2019</w:t>
            </w:r>
            <w:r>
              <w:rPr>
                <w:sz w:val="24"/>
              </w:rPr>
              <w:t>年</w:t>
            </w:r>
            <w:r>
              <w:rPr>
                <w:sz w:val="24"/>
              </w:rPr>
              <w:t>08</w:t>
            </w:r>
            <w:r>
              <w:rPr>
                <w:sz w:val="24"/>
              </w:rPr>
              <w:t>月</w:t>
            </w:r>
            <w:r>
              <w:rPr>
                <w:sz w:val="24"/>
              </w:rPr>
              <w:t>08</w:t>
            </w:r>
            <w:r>
              <w:rPr>
                <w:sz w:val="24"/>
              </w:rPr>
              <w:t>日</w:t>
            </w:r>
          </w:p>
        </w:tc>
        <w:tc>
          <w:tcPr>
            <w:tcW w:w="1276" w:type="dxa"/>
            <w:vAlign w:val="center"/>
          </w:tcPr>
          <w:p w:rsidR="00DB36E5" w:rsidRDefault="001C67CD">
            <w:pPr>
              <w:jc w:val="center"/>
            </w:pPr>
            <w:r>
              <w:rPr>
                <w:sz w:val="24"/>
              </w:rPr>
              <w:t>280,635,173.06</w:t>
            </w:r>
          </w:p>
        </w:tc>
        <w:tc>
          <w:tcPr>
            <w:tcW w:w="1276" w:type="dxa"/>
            <w:vAlign w:val="center"/>
          </w:tcPr>
          <w:p w:rsidR="00DB36E5" w:rsidRDefault="001C67CD">
            <w:pPr>
              <w:jc w:val="center"/>
            </w:pPr>
            <w:r>
              <w:rPr>
                <w:sz w:val="24"/>
              </w:rPr>
              <w:t>-</w:t>
            </w:r>
          </w:p>
        </w:tc>
        <w:tc>
          <w:tcPr>
            <w:tcW w:w="1276" w:type="dxa"/>
            <w:vAlign w:val="center"/>
          </w:tcPr>
          <w:p w:rsidR="00DB36E5" w:rsidRDefault="001C67CD">
            <w:pPr>
              <w:jc w:val="center"/>
            </w:pPr>
            <w:r>
              <w:rPr>
                <w:sz w:val="24"/>
              </w:rPr>
              <w:t>-</w:t>
            </w:r>
          </w:p>
        </w:tc>
        <w:tc>
          <w:tcPr>
            <w:tcW w:w="1417" w:type="dxa"/>
            <w:vAlign w:val="center"/>
          </w:tcPr>
          <w:p w:rsidR="00DB36E5" w:rsidRDefault="001C67CD">
            <w:pPr>
              <w:jc w:val="center"/>
            </w:pPr>
            <w:r>
              <w:rPr>
                <w:sz w:val="24"/>
              </w:rPr>
              <w:t>280,635,173.06</w:t>
            </w:r>
          </w:p>
        </w:tc>
        <w:tc>
          <w:tcPr>
            <w:tcW w:w="851" w:type="dxa"/>
            <w:vAlign w:val="center"/>
          </w:tcPr>
          <w:p w:rsidR="00DB36E5" w:rsidRDefault="001C67CD">
            <w:pPr>
              <w:jc w:val="center"/>
            </w:pPr>
            <w:r>
              <w:rPr>
                <w:sz w:val="24"/>
              </w:rPr>
              <w:t>14.52%</w:t>
            </w:r>
          </w:p>
        </w:tc>
      </w:tr>
      <w:tr w:rsidR="00575C75" w:rsidRPr="00FC0759" w:rsidTr="00CD72D6">
        <w:trPr>
          <w:jc w:val="center"/>
        </w:trPr>
        <w:tc>
          <w:tcPr>
            <w:tcW w:w="9637" w:type="dxa"/>
            <w:gridSpan w:val="8"/>
            <w:vAlign w:val="center"/>
          </w:tcPr>
          <w:p w:rsidR="00575C75" w:rsidRPr="00FC0759" w:rsidRDefault="00575C75" w:rsidP="00BF07C4">
            <w:pPr>
              <w:autoSpaceDE w:val="0"/>
              <w:autoSpaceDN w:val="0"/>
              <w:adjustRightInd w:val="0"/>
              <w:jc w:val="center"/>
              <w:rPr>
                <w:sz w:val="24"/>
              </w:rPr>
            </w:pPr>
            <w:r w:rsidRPr="00FC0759">
              <w:rPr>
                <w:color w:val="000000"/>
                <w:sz w:val="24"/>
              </w:rPr>
              <w:t>产品特有风险</w:t>
            </w:r>
          </w:p>
        </w:tc>
      </w:tr>
      <w:tr w:rsidR="00575C75" w:rsidRPr="00FC0759" w:rsidTr="00CD72D6">
        <w:trPr>
          <w:jc w:val="center"/>
        </w:trPr>
        <w:tc>
          <w:tcPr>
            <w:tcW w:w="9637" w:type="dxa"/>
            <w:gridSpan w:val="8"/>
            <w:vAlign w:val="center"/>
          </w:tcPr>
          <w:p w:rsidR="00575C75" w:rsidRPr="00FC0759" w:rsidRDefault="00575C75" w:rsidP="00CD72D6">
            <w:pPr>
              <w:autoSpaceDE w:val="0"/>
              <w:autoSpaceDN w:val="0"/>
              <w:adjustRightInd w:val="0"/>
              <w:jc w:val="left"/>
              <w:rPr>
                <w:sz w:val="24"/>
              </w:rPr>
            </w:pPr>
            <w:r w:rsidRPr="00FC0759">
              <w:rPr>
                <w:sz w:val="24"/>
              </w:rPr>
              <w:t>报告期内，本基金存在单一投资者持有份额比例达到或超过</w:t>
            </w:r>
            <w:r w:rsidRPr="00FC0759">
              <w:rPr>
                <w:sz w:val="24"/>
              </w:rPr>
              <w:t>20%</w:t>
            </w:r>
            <w:r w:rsidRPr="00FC0759">
              <w:rPr>
                <w:sz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rPr>
              <w:t>5000</w:t>
            </w:r>
            <w:r w:rsidRPr="00FC0759">
              <w:rPr>
                <w:sz w:val="24"/>
              </w:rPr>
              <w:t>万元，基金还可能面临转换运作方式、与其他基金合并或者终止基金合同等情形；持有基金份额占比较高的投资者在召开持有人大会并对审议事项进行投票表决时可能拥有较大话语权。</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9</w:t>
      </w:r>
      <w:r w:rsidR="0066098B" w:rsidRPr="0078105B">
        <w:rPr>
          <w:rFonts w:ascii="宋体" w:hAnsi="宋体" w:cs="Arial"/>
          <w:color w:val="000000"/>
          <w:kern w:val="0"/>
          <w:sz w:val="24"/>
          <w:szCs w:val="24"/>
        </w:rPr>
        <w:t xml:space="preserve">  </w:t>
      </w:r>
      <w:r w:rsidRPr="0078105B">
        <w:rPr>
          <w:rFonts w:ascii="宋体" w:hAnsi="宋体" w:cs="Arial" w:hint="eastAsia"/>
          <w:color w:val="000000"/>
          <w:kern w:val="0"/>
          <w:sz w:val="24"/>
          <w:szCs w:val="24"/>
        </w:rPr>
        <w:t>备查文件目录</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9.1</w:t>
      </w:r>
      <w:r w:rsidRPr="00E8153C">
        <w:rPr>
          <w:color w:val="000000"/>
          <w:kern w:val="0"/>
          <w:sz w:val="24"/>
        </w:rPr>
        <w:t>备查文件目录</w:t>
      </w:r>
    </w:p>
    <w:p w:rsidR="00DB36E5" w:rsidRDefault="001C67CD">
      <w:pPr>
        <w:spacing w:line="360" w:lineRule="auto"/>
        <w:ind w:firstLineChars="200" w:firstLine="480"/>
        <w:rPr>
          <w:color w:val="000000"/>
          <w:sz w:val="24"/>
        </w:rPr>
      </w:pPr>
      <w:r>
        <w:rPr>
          <w:color w:val="000000"/>
          <w:sz w:val="24"/>
        </w:rPr>
        <w:t>1.</w:t>
      </w:r>
      <w:r>
        <w:rPr>
          <w:color w:val="000000"/>
          <w:sz w:val="24"/>
        </w:rPr>
        <w:t>中国证监会核准易方达纯债</w:t>
      </w:r>
      <w:r>
        <w:rPr>
          <w:color w:val="000000"/>
          <w:sz w:val="24"/>
        </w:rPr>
        <w:t>1</w:t>
      </w:r>
      <w:r>
        <w:rPr>
          <w:color w:val="000000"/>
          <w:sz w:val="24"/>
        </w:rPr>
        <w:t>年定期开放债券型证券投资基金募集的文件；</w:t>
      </w:r>
    </w:p>
    <w:p w:rsidR="00DB36E5" w:rsidRDefault="001C67CD">
      <w:pPr>
        <w:spacing w:line="360" w:lineRule="auto"/>
        <w:ind w:firstLineChars="200" w:firstLine="480"/>
        <w:rPr>
          <w:color w:val="000000"/>
          <w:sz w:val="24"/>
        </w:rPr>
      </w:pPr>
      <w:r>
        <w:rPr>
          <w:color w:val="000000"/>
          <w:sz w:val="24"/>
        </w:rPr>
        <w:t>2.</w:t>
      </w:r>
      <w:r>
        <w:rPr>
          <w:color w:val="000000"/>
          <w:sz w:val="24"/>
        </w:rPr>
        <w:t>《易方达纯债</w:t>
      </w:r>
      <w:r>
        <w:rPr>
          <w:color w:val="000000"/>
          <w:sz w:val="24"/>
        </w:rPr>
        <w:t>1</w:t>
      </w:r>
      <w:r>
        <w:rPr>
          <w:color w:val="000000"/>
          <w:sz w:val="24"/>
        </w:rPr>
        <w:t>年定期开放债券型证券投资基金基金合同》；</w:t>
      </w:r>
    </w:p>
    <w:p w:rsidR="00DB36E5" w:rsidRDefault="001C67CD">
      <w:pPr>
        <w:spacing w:line="360" w:lineRule="auto"/>
        <w:ind w:firstLineChars="200" w:firstLine="480"/>
        <w:rPr>
          <w:color w:val="000000"/>
          <w:sz w:val="24"/>
        </w:rPr>
      </w:pPr>
      <w:r>
        <w:rPr>
          <w:color w:val="000000"/>
          <w:sz w:val="24"/>
        </w:rPr>
        <w:t>3.</w:t>
      </w:r>
      <w:r>
        <w:rPr>
          <w:color w:val="000000"/>
          <w:sz w:val="24"/>
        </w:rPr>
        <w:t>《易方达纯债</w:t>
      </w:r>
      <w:r>
        <w:rPr>
          <w:color w:val="000000"/>
          <w:sz w:val="24"/>
        </w:rPr>
        <w:t>1</w:t>
      </w:r>
      <w:r>
        <w:rPr>
          <w:color w:val="000000"/>
          <w:sz w:val="24"/>
        </w:rPr>
        <w:t>年定期开放债券型证券投资基金托管协议》；</w:t>
      </w:r>
    </w:p>
    <w:p w:rsidR="00DB36E5" w:rsidRDefault="001C67CD">
      <w:pPr>
        <w:spacing w:line="360" w:lineRule="auto"/>
        <w:ind w:firstLineChars="200" w:firstLine="480"/>
        <w:rPr>
          <w:color w:val="000000"/>
          <w:sz w:val="24"/>
        </w:rPr>
      </w:pPr>
      <w:r>
        <w:rPr>
          <w:color w:val="000000"/>
          <w:sz w:val="24"/>
        </w:rPr>
        <w:t>4.</w:t>
      </w:r>
      <w:r>
        <w:rPr>
          <w:color w:val="000000"/>
          <w:sz w:val="24"/>
        </w:rPr>
        <w:t>《易方达基金管理有限公司开放式基金业务规则》；</w:t>
      </w:r>
    </w:p>
    <w:p w:rsidR="00F016DD" w:rsidRPr="00E8153C" w:rsidRDefault="00F016DD" w:rsidP="00DF18FE">
      <w:pPr>
        <w:spacing w:line="360" w:lineRule="auto"/>
        <w:ind w:firstLineChars="200" w:firstLine="480"/>
        <w:rPr>
          <w:color w:val="000000"/>
          <w:sz w:val="24"/>
        </w:rPr>
      </w:pPr>
      <w:r w:rsidRPr="00E8153C">
        <w:rPr>
          <w:color w:val="000000"/>
          <w:sz w:val="24"/>
        </w:rPr>
        <w:t>5.</w:t>
      </w:r>
      <w:r w:rsidRPr="00E8153C">
        <w:rPr>
          <w:color w:val="000000"/>
          <w:sz w:val="24"/>
        </w:rPr>
        <w:t>基金管理人业务资格批件、营业执照。</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9.2</w:t>
      </w:r>
      <w:r w:rsidRPr="00E8153C">
        <w:rPr>
          <w:color w:val="000000"/>
          <w:kern w:val="0"/>
          <w:sz w:val="24"/>
        </w:rPr>
        <w:t>存放地点</w:t>
      </w:r>
    </w:p>
    <w:p w:rsidR="00F016DD" w:rsidRPr="00E8153C" w:rsidRDefault="00F016DD" w:rsidP="00DF18FE">
      <w:pPr>
        <w:spacing w:line="360" w:lineRule="auto"/>
        <w:ind w:firstLineChars="200" w:firstLine="480"/>
        <w:rPr>
          <w:color w:val="000000"/>
          <w:sz w:val="24"/>
        </w:rPr>
      </w:pPr>
      <w:r w:rsidRPr="00E8153C">
        <w:rPr>
          <w:color w:val="000000"/>
          <w:sz w:val="24"/>
        </w:rPr>
        <w:t>广州市天河区珠江新城珠江东路</w:t>
      </w:r>
      <w:r w:rsidRPr="00E8153C">
        <w:rPr>
          <w:color w:val="000000"/>
          <w:sz w:val="24"/>
        </w:rPr>
        <w:t>30</w:t>
      </w:r>
      <w:r w:rsidRPr="00E8153C">
        <w:rPr>
          <w:color w:val="000000"/>
          <w:sz w:val="24"/>
        </w:rPr>
        <w:t>号广州银行大厦</w:t>
      </w:r>
      <w:r w:rsidRPr="00E8153C">
        <w:rPr>
          <w:color w:val="000000"/>
          <w:sz w:val="24"/>
        </w:rPr>
        <w:t>40-43</w:t>
      </w:r>
      <w:r w:rsidRPr="00E8153C">
        <w:rPr>
          <w:color w:val="000000"/>
          <w:sz w:val="24"/>
        </w:rPr>
        <w:t>楼。</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9.3</w:t>
      </w:r>
      <w:r w:rsidRPr="00E8153C">
        <w:rPr>
          <w:color w:val="000000"/>
          <w:kern w:val="0"/>
          <w:sz w:val="24"/>
        </w:rPr>
        <w:t>查阅方式</w:t>
      </w:r>
    </w:p>
    <w:p w:rsidR="00F016DD" w:rsidRPr="00E8153C" w:rsidRDefault="00F016DD" w:rsidP="00DF18FE">
      <w:pPr>
        <w:spacing w:line="360" w:lineRule="auto"/>
        <w:ind w:firstLineChars="200" w:firstLine="480"/>
        <w:rPr>
          <w:color w:val="000000"/>
          <w:sz w:val="24"/>
        </w:rPr>
      </w:pPr>
      <w:r w:rsidRPr="00E8153C">
        <w:rPr>
          <w:color w:val="000000"/>
          <w:sz w:val="24"/>
        </w:rPr>
        <w:t>投资者可在营业时间免费查阅，也可按工本费购买复印件。</w:t>
      </w:r>
    </w:p>
    <w:p w:rsidR="00F016DD" w:rsidRPr="0078105B" w:rsidRDefault="00F016DD" w:rsidP="00FB3C94">
      <w:pPr>
        <w:spacing w:line="360" w:lineRule="auto"/>
        <w:ind w:left="840"/>
        <w:jc w:val="right"/>
        <w:rPr>
          <w:rFonts w:ascii="宋体"/>
          <w:color w:val="000000"/>
          <w:sz w:val="24"/>
        </w:rPr>
      </w:pPr>
    </w:p>
    <w:p w:rsidR="00F016DD" w:rsidRPr="0078105B" w:rsidRDefault="00F016DD" w:rsidP="00053FFD">
      <w:pPr>
        <w:spacing w:line="360" w:lineRule="auto"/>
        <w:ind w:left="840"/>
        <w:jc w:val="center"/>
        <w:rPr>
          <w:rFonts w:ascii="宋体"/>
          <w:b/>
          <w:color w:val="000000"/>
          <w:sz w:val="24"/>
        </w:rPr>
      </w:pP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易方达基金管理有限公司</w:t>
      </w: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二〇一九年十月二十四日</w:t>
      </w:r>
    </w:p>
    <w:sectPr w:rsidR="00F016DD" w:rsidRPr="0078105B" w:rsidSect="00A8324F">
      <w:footerReference w:type="even" r:id="rId11"/>
      <w:footerReference w:type="default" r:id="rId12"/>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926" w:rsidRDefault="00236926">
      <w:r>
        <w:separator/>
      </w:r>
    </w:p>
  </w:endnote>
  <w:endnote w:type="continuationSeparator" w:id="0">
    <w:p w:rsidR="00236926" w:rsidRDefault="0023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
    <w:altName w:val="Arial"/>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1D0DB0" w:rsidRDefault="00611CB2" w:rsidP="00F7094A">
    <w:pPr>
      <w:pStyle w:val="a6"/>
      <w:jc w:val="center"/>
    </w:pPr>
    <w:r>
      <w:rPr>
        <w:rFonts w:hint="eastAsia"/>
        <w:szCs w:val="21"/>
      </w:rPr>
      <w:t>第</w:t>
    </w:r>
    <w:r w:rsidR="00F85FCB">
      <w:rPr>
        <w:szCs w:val="21"/>
      </w:rPr>
      <w:fldChar w:fldCharType="begin"/>
    </w:r>
    <w:r>
      <w:rPr>
        <w:szCs w:val="21"/>
      </w:rPr>
      <w:instrText xml:space="preserve"> PAGE </w:instrText>
    </w:r>
    <w:r w:rsidR="00F85FCB">
      <w:rPr>
        <w:szCs w:val="21"/>
      </w:rPr>
      <w:fldChar w:fldCharType="separate"/>
    </w:r>
    <w:r w:rsidR="001C67CD">
      <w:rPr>
        <w:noProof/>
        <w:szCs w:val="21"/>
      </w:rPr>
      <w:t>1</w:t>
    </w:r>
    <w:r w:rsidR="00F85FCB">
      <w:rPr>
        <w:szCs w:val="21"/>
      </w:rPr>
      <w:fldChar w:fldCharType="end"/>
    </w:r>
    <w:r>
      <w:rPr>
        <w:rFonts w:hint="eastAsia"/>
        <w:szCs w:val="21"/>
      </w:rPr>
      <w:t>页共</w:t>
    </w:r>
    <w:r w:rsidR="00F85FCB">
      <w:rPr>
        <w:szCs w:val="21"/>
      </w:rPr>
      <w:fldChar w:fldCharType="begin"/>
    </w:r>
    <w:r>
      <w:rPr>
        <w:szCs w:val="21"/>
      </w:rPr>
      <w:instrText xml:space="preserve"> NUMPAGES </w:instrText>
    </w:r>
    <w:r w:rsidR="00F85FCB">
      <w:rPr>
        <w:szCs w:val="21"/>
      </w:rPr>
      <w:fldChar w:fldCharType="separate"/>
    </w:r>
    <w:r w:rsidR="001C67CD">
      <w:rPr>
        <w:noProof/>
        <w:szCs w:val="21"/>
      </w:rPr>
      <w:t>3</w:t>
    </w:r>
    <w:r w:rsidR="00F85FCB">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end"/>
    </w:r>
  </w:p>
  <w:p w:rsidR="00611CB2" w:rsidRDefault="00611CB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separate"/>
    </w:r>
    <w:r w:rsidR="001C67CD">
      <w:rPr>
        <w:rStyle w:val="a7"/>
        <w:noProof/>
      </w:rPr>
      <w:t>13</w:t>
    </w:r>
    <w:r>
      <w:rPr>
        <w:rStyle w:val="a7"/>
      </w:rPr>
      <w:fldChar w:fldCharType="end"/>
    </w:r>
  </w:p>
  <w:p w:rsidR="00611CB2" w:rsidRDefault="00611C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926" w:rsidRDefault="00236926">
      <w:r>
        <w:separator/>
      </w:r>
    </w:p>
  </w:footnote>
  <w:footnote w:type="continuationSeparator" w:id="0">
    <w:p w:rsidR="00236926" w:rsidRDefault="00236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DA451D" w:rsidRDefault="00611CB2" w:rsidP="001207F2">
    <w:pPr>
      <w:pStyle w:val="a9"/>
      <w:pBdr>
        <w:bottom w:val="single" w:sz="6" w:space="0" w:color="auto"/>
      </w:pBdr>
      <w:jc w:val="right"/>
    </w:pPr>
    <w:r w:rsidRPr="00DA451D">
      <w:t>易方达纯债</w:t>
    </w:r>
    <w:r w:rsidRPr="00DA451D">
      <w:t>1</w:t>
    </w:r>
    <w:r w:rsidRPr="00DA451D">
      <w:t>年定期开放债券型证券投资基金</w:t>
    </w:r>
    <w:r w:rsidRPr="00DA451D">
      <w:t>2019</w:t>
    </w:r>
    <w:r w:rsidRPr="00DA451D">
      <w:t>年第</w:t>
    </w:r>
    <w:r w:rsidRPr="00DA451D">
      <w:t>3</w:t>
    </w:r>
    <w:r w:rsidRPr="00DA451D">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lvlOverride w:ilvl="2">
      <w:lvl w:ilvl="2">
        <w:start w:val="1"/>
        <w:numFmt w:val="decimal"/>
        <w:lvlText w:val="%1.%2.%3"/>
        <w:lvlJc w:val="left"/>
        <w:pPr>
          <w:tabs>
            <w:tab w:val="num" w:pos="1418"/>
          </w:tabs>
          <w:ind w:left="1418" w:hanging="567"/>
        </w:pPr>
        <w:rPr>
          <w:rFonts w:cs="Times New Roman"/>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2187"/>
    <w:rsid w:val="0000059C"/>
    <w:rsid w:val="000008B1"/>
    <w:rsid w:val="0000403B"/>
    <w:rsid w:val="00007441"/>
    <w:rsid w:val="00007F1F"/>
    <w:rsid w:val="000108A5"/>
    <w:rsid w:val="00010A83"/>
    <w:rsid w:val="000137C1"/>
    <w:rsid w:val="0001579C"/>
    <w:rsid w:val="00016551"/>
    <w:rsid w:val="00020737"/>
    <w:rsid w:val="00020C27"/>
    <w:rsid w:val="000219D5"/>
    <w:rsid w:val="00022396"/>
    <w:rsid w:val="00023073"/>
    <w:rsid w:val="00023B86"/>
    <w:rsid w:val="00023B97"/>
    <w:rsid w:val="00024836"/>
    <w:rsid w:val="000252D8"/>
    <w:rsid w:val="0003338D"/>
    <w:rsid w:val="0003564A"/>
    <w:rsid w:val="00037B55"/>
    <w:rsid w:val="00037C73"/>
    <w:rsid w:val="00042065"/>
    <w:rsid w:val="00043FD2"/>
    <w:rsid w:val="00045558"/>
    <w:rsid w:val="00045BA9"/>
    <w:rsid w:val="00047D87"/>
    <w:rsid w:val="000510AB"/>
    <w:rsid w:val="00053FFD"/>
    <w:rsid w:val="00056D5C"/>
    <w:rsid w:val="00061B0B"/>
    <w:rsid w:val="00061E09"/>
    <w:rsid w:val="00062C69"/>
    <w:rsid w:val="00062E1F"/>
    <w:rsid w:val="00064601"/>
    <w:rsid w:val="00064AE3"/>
    <w:rsid w:val="00064F4B"/>
    <w:rsid w:val="00065ABE"/>
    <w:rsid w:val="0006750A"/>
    <w:rsid w:val="000776C0"/>
    <w:rsid w:val="00077849"/>
    <w:rsid w:val="000803AD"/>
    <w:rsid w:val="000813D6"/>
    <w:rsid w:val="00081D05"/>
    <w:rsid w:val="000827CC"/>
    <w:rsid w:val="000871DB"/>
    <w:rsid w:val="000922C5"/>
    <w:rsid w:val="0009314F"/>
    <w:rsid w:val="00093A23"/>
    <w:rsid w:val="00097169"/>
    <w:rsid w:val="000A08FC"/>
    <w:rsid w:val="000A15F1"/>
    <w:rsid w:val="000A1617"/>
    <w:rsid w:val="000A40A5"/>
    <w:rsid w:val="000A457E"/>
    <w:rsid w:val="000A549A"/>
    <w:rsid w:val="000A5A81"/>
    <w:rsid w:val="000A6D8C"/>
    <w:rsid w:val="000A72F2"/>
    <w:rsid w:val="000A7BFD"/>
    <w:rsid w:val="000B000E"/>
    <w:rsid w:val="000B1CB9"/>
    <w:rsid w:val="000B24AF"/>
    <w:rsid w:val="000B251E"/>
    <w:rsid w:val="000B3E43"/>
    <w:rsid w:val="000B4E99"/>
    <w:rsid w:val="000B5B16"/>
    <w:rsid w:val="000B648A"/>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611"/>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304E"/>
    <w:rsid w:val="00123051"/>
    <w:rsid w:val="0012558C"/>
    <w:rsid w:val="001257C7"/>
    <w:rsid w:val="00125E66"/>
    <w:rsid w:val="001262F4"/>
    <w:rsid w:val="001263E1"/>
    <w:rsid w:val="00126AC0"/>
    <w:rsid w:val="00126C2B"/>
    <w:rsid w:val="00127A01"/>
    <w:rsid w:val="00130D77"/>
    <w:rsid w:val="00131EF6"/>
    <w:rsid w:val="0013251D"/>
    <w:rsid w:val="00134734"/>
    <w:rsid w:val="00134CBE"/>
    <w:rsid w:val="00140C30"/>
    <w:rsid w:val="001427AE"/>
    <w:rsid w:val="00142C74"/>
    <w:rsid w:val="001453EF"/>
    <w:rsid w:val="00145E5B"/>
    <w:rsid w:val="00147319"/>
    <w:rsid w:val="00147551"/>
    <w:rsid w:val="0015012F"/>
    <w:rsid w:val="00150C2E"/>
    <w:rsid w:val="0015170D"/>
    <w:rsid w:val="001517AE"/>
    <w:rsid w:val="00154FA5"/>
    <w:rsid w:val="0015531A"/>
    <w:rsid w:val="00156F9D"/>
    <w:rsid w:val="001602E3"/>
    <w:rsid w:val="00160539"/>
    <w:rsid w:val="00161548"/>
    <w:rsid w:val="00162D92"/>
    <w:rsid w:val="0016464C"/>
    <w:rsid w:val="0017176A"/>
    <w:rsid w:val="00172B54"/>
    <w:rsid w:val="00174038"/>
    <w:rsid w:val="00174D16"/>
    <w:rsid w:val="00176874"/>
    <w:rsid w:val="0017725A"/>
    <w:rsid w:val="0018052A"/>
    <w:rsid w:val="00180952"/>
    <w:rsid w:val="0018191A"/>
    <w:rsid w:val="00185B68"/>
    <w:rsid w:val="00186199"/>
    <w:rsid w:val="001874E3"/>
    <w:rsid w:val="001878B0"/>
    <w:rsid w:val="00194155"/>
    <w:rsid w:val="001A0417"/>
    <w:rsid w:val="001A0B71"/>
    <w:rsid w:val="001A1389"/>
    <w:rsid w:val="001A3016"/>
    <w:rsid w:val="001A3914"/>
    <w:rsid w:val="001A5FA6"/>
    <w:rsid w:val="001B053A"/>
    <w:rsid w:val="001B08B3"/>
    <w:rsid w:val="001B0A62"/>
    <w:rsid w:val="001B0C78"/>
    <w:rsid w:val="001B151C"/>
    <w:rsid w:val="001B1A13"/>
    <w:rsid w:val="001B22BA"/>
    <w:rsid w:val="001B3C1C"/>
    <w:rsid w:val="001B4983"/>
    <w:rsid w:val="001C2045"/>
    <w:rsid w:val="001C5040"/>
    <w:rsid w:val="001C67CD"/>
    <w:rsid w:val="001C715A"/>
    <w:rsid w:val="001D0DB0"/>
    <w:rsid w:val="001D0F6A"/>
    <w:rsid w:val="001D2FA5"/>
    <w:rsid w:val="001D3394"/>
    <w:rsid w:val="001D3D57"/>
    <w:rsid w:val="001D4980"/>
    <w:rsid w:val="001D5045"/>
    <w:rsid w:val="001D5A44"/>
    <w:rsid w:val="001D5CD0"/>
    <w:rsid w:val="001D63BB"/>
    <w:rsid w:val="001D724B"/>
    <w:rsid w:val="001E023C"/>
    <w:rsid w:val="001E0BA5"/>
    <w:rsid w:val="001F03E1"/>
    <w:rsid w:val="001F1F19"/>
    <w:rsid w:val="001F2BD1"/>
    <w:rsid w:val="001F3080"/>
    <w:rsid w:val="001F3CC6"/>
    <w:rsid w:val="001F5F5F"/>
    <w:rsid w:val="001F60E9"/>
    <w:rsid w:val="002035B9"/>
    <w:rsid w:val="00205064"/>
    <w:rsid w:val="0020548A"/>
    <w:rsid w:val="002079FA"/>
    <w:rsid w:val="00211668"/>
    <w:rsid w:val="002118A6"/>
    <w:rsid w:val="002122FF"/>
    <w:rsid w:val="002125F7"/>
    <w:rsid w:val="0021288A"/>
    <w:rsid w:val="002150AC"/>
    <w:rsid w:val="0021650B"/>
    <w:rsid w:val="00221938"/>
    <w:rsid w:val="00222262"/>
    <w:rsid w:val="00222ABD"/>
    <w:rsid w:val="002230A8"/>
    <w:rsid w:val="00227D20"/>
    <w:rsid w:val="00231BCE"/>
    <w:rsid w:val="0023336A"/>
    <w:rsid w:val="002359EB"/>
    <w:rsid w:val="0023649E"/>
    <w:rsid w:val="00236926"/>
    <w:rsid w:val="00241740"/>
    <w:rsid w:val="002424E4"/>
    <w:rsid w:val="00243122"/>
    <w:rsid w:val="002437F5"/>
    <w:rsid w:val="00244DB1"/>
    <w:rsid w:val="00244FDA"/>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4E55"/>
    <w:rsid w:val="00266645"/>
    <w:rsid w:val="00267386"/>
    <w:rsid w:val="00267C2E"/>
    <w:rsid w:val="00267DA9"/>
    <w:rsid w:val="00273E5C"/>
    <w:rsid w:val="0027576B"/>
    <w:rsid w:val="00275FD0"/>
    <w:rsid w:val="00280514"/>
    <w:rsid w:val="002810D8"/>
    <w:rsid w:val="002819E7"/>
    <w:rsid w:val="00282FF2"/>
    <w:rsid w:val="00283483"/>
    <w:rsid w:val="002844B5"/>
    <w:rsid w:val="0028459B"/>
    <w:rsid w:val="00285618"/>
    <w:rsid w:val="002872F8"/>
    <w:rsid w:val="002953E8"/>
    <w:rsid w:val="00296E4A"/>
    <w:rsid w:val="00297260"/>
    <w:rsid w:val="002976E5"/>
    <w:rsid w:val="002A1F14"/>
    <w:rsid w:val="002A2678"/>
    <w:rsid w:val="002A3369"/>
    <w:rsid w:val="002A3965"/>
    <w:rsid w:val="002A4B8A"/>
    <w:rsid w:val="002A5161"/>
    <w:rsid w:val="002A5C0F"/>
    <w:rsid w:val="002A6385"/>
    <w:rsid w:val="002A7929"/>
    <w:rsid w:val="002B41D7"/>
    <w:rsid w:val="002B5240"/>
    <w:rsid w:val="002B6A13"/>
    <w:rsid w:val="002C0904"/>
    <w:rsid w:val="002C0F67"/>
    <w:rsid w:val="002C1E84"/>
    <w:rsid w:val="002C36C3"/>
    <w:rsid w:val="002C77CC"/>
    <w:rsid w:val="002D2A00"/>
    <w:rsid w:val="002D5199"/>
    <w:rsid w:val="002E2862"/>
    <w:rsid w:val="002E2BEF"/>
    <w:rsid w:val="002E356A"/>
    <w:rsid w:val="002E4C01"/>
    <w:rsid w:val="002F0516"/>
    <w:rsid w:val="002F22D2"/>
    <w:rsid w:val="002F778A"/>
    <w:rsid w:val="00302187"/>
    <w:rsid w:val="003028D8"/>
    <w:rsid w:val="0030290F"/>
    <w:rsid w:val="00302DE9"/>
    <w:rsid w:val="00302FAB"/>
    <w:rsid w:val="00303869"/>
    <w:rsid w:val="00303F1D"/>
    <w:rsid w:val="00305084"/>
    <w:rsid w:val="00305153"/>
    <w:rsid w:val="00311ABF"/>
    <w:rsid w:val="00314A81"/>
    <w:rsid w:val="00314DD2"/>
    <w:rsid w:val="00315A7C"/>
    <w:rsid w:val="00317705"/>
    <w:rsid w:val="00320453"/>
    <w:rsid w:val="003204E9"/>
    <w:rsid w:val="003232AA"/>
    <w:rsid w:val="00323A10"/>
    <w:rsid w:val="00323E6A"/>
    <w:rsid w:val="00323F25"/>
    <w:rsid w:val="00324A71"/>
    <w:rsid w:val="003303E3"/>
    <w:rsid w:val="00334656"/>
    <w:rsid w:val="00337A86"/>
    <w:rsid w:val="0034147B"/>
    <w:rsid w:val="00341889"/>
    <w:rsid w:val="003426CE"/>
    <w:rsid w:val="00343016"/>
    <w:rsid w:val="0034447B"/>
    <w:rsid w:val="00351704"/>
    <w:rsid w:val="003570C8"/>
    <w:rsid w:val="00367770"/>
    <w:rsid w:val="00371424"/>
    <w:rsid w:val="00371FF4"/>
    <w:rsid w:val="00372209"/>
    <w:rsid w:val="003771ED"/>
    <w:rsid w:val="0037768B"/>
    <w:rsid w:val="00381791"/>
    <w:rsid w:val="00382E6F"/>
    <w:rsid w:val="00387C00"/>
    <w:rsid w:val="00397960"/>
    <w:rsid w:val="00397F75"/>
    <w:rsid w:val="003A2008"/>
    <w:rsid w:val="003A3BC4"/>
    <w:rsid w:val="003A4AA3"/>
    <w:rsid w:val="003B405E"/>
    <w:rsid w:val="003B4843"/>
    <w:rsid w:val="003B494E"/>
    <w:rsid w:val="003C6E9E"/>
    <w:rsid w:val="003C792F"/>
    <w:rsid w:val="003D117A"/>
    <w:rsid w:val="003D36B2"/>
    <w:rsid w:val="003D42D5"/>
    <w:rsid w:val="003D656E"/>
    <w:rsid w:val="003D7783"/>
    <w:rsid w:val="003D78B5"/>
    <w:rsid w:val="003E0BD4"/>
    <w:rsid w:val="003E45B9"/>
    <w:rsid w:val="003E654C"/>
    <w:rsid w:val="003F0DE5"/>
    <w:rsid w:val="003F0E22"/>
    <w:rsid w:val="003F1058"/>
    <w:rsid w:val="003F13CD"/>
    <w:rsid w:val="003F46FC"/>
    <w:rsid w:val="003F4AA5"/>
    <w:rsid w:val="003F697D"/>
    <w:rsid w:val="003F7C45"/>
    <w:rsid w:val="00400500"/>
    <w:rsid w:val="0040132C"/>
    <w:rsid w:val="00404257"/>
    <w:rsid w:val="00407F66"/>
    <w:rsid w:val="004113B4"/>
    <w:rsid w:val="0041220A"/>
    <w:rsid w:val="00413B96"/>
    <w:rsid w:val="00413C2C"/>
    <w:rsid w:val="00414367"/>
    <w:rsid w:val="00415168"/>
    <w:rsid w:val="00415A8A"/>
    <w:rsid w:val="00415B04"/>
    <w:rsid w:val="00416A6B"/>
    <w:rsid w:val="0042044C"/>
    <w:rsid w:val="00421624"/>
    <w:rsid w:val="00424151"/>
    <w:rsid w:val="00425208"/>
    <w:rsid w:val="00425A5A"/>
    <w:rsid w:val="00425FB6"/>
    <w:rsid w:val="004268BB"/>
    <w:rsid w:val="0042785F"/>
    <w:rsid w:val="004314FF"/>
    <w:rsid w:val="004408EC"/>
    <w:rsid w:val="00440F74"/>
    <w:rsid w:val="00441FEC"/>
    <w:rsid w:val="004425E8"/>
    <w:rsid w:val="00443C8F"/>
    <w:rsid w:val="00447BC6"/>
    <w:rsid w:val="004501CE"/>
    <w:rsid w:val="00452481"/>
    <w:rsid w:val="00454A0F"/>
    <w:rsid w:val="0046335D"/>
    <w:rsid w:val="00463C2C"/>
    <w:rsid w:val="00471D81"/>
    <w:rsid w:val="004733AC"/>
    <w:rsid w:val="00483271"/>
    <w:rsid w:val="00490F85"/>
    <w:rsid w:val="0049210E"/>
    <w:rsid w:val="0049297D"/>
    <w:rsid w:val="0049327D"/>
    <w:rsid w:val="0049405D"/>
    <w:rsid w:val="0049455C"/>
    <w:rsid w:val="00495A03"/>
    <w:rsid w:val="004A135B"/>
    <w:rsid w:val="004A1BE1"/>
    <w:rsid w:val="004A3251"/>
    <w:rsid w:val="004A4980"/>
    <w:rsid w:val="004A4F68"/>
    <w:rsid w:val="004A63CB"/>
    <w:rsid w:val="004A67B0"/>
    <w:rsid w:val="004A6FB2"/>
    <w:rsid w:val="004B0847"/>
    <w:rsid w:val="004B0E6D"/>
    <w:rsid w:val="004B16E8"/>
    <w:rsid w:val="004B67DB"/>
    <w:rsid w:val="004C0541"/>
    <w:rsid w:val="004C3A16"/>
    <w:rsid w:val="004C634A"/>
    <w:rsid w:val="004C660B"/>
    <w:rsid w:val="004D050C"/>
    <w:rsid w:val="004D23D9"/>
    <w:rsid w:val="004D29A9"/>
    <w:rsid w:val="004D3537"/>
    <w:rsid w:val="004D4D4E"/>
    <w:rsid w:val="004D614E"/>
    <w:rsid w:val="004D650F"/>
    <w:rsid w:val="004E2133"/>
    <w:rsid w:val="004E4E04"/>
    <w:rsid w:val="004E6CBA"/>
    <w:rsid w:val="004F521C"/>
    <w:rsid w:val="00502CD8"/>
    <w:rsid w:val="0050361C"/>
    <w:rsid w:val="00503BF4"/>
    <w:rsid w:val="00506A40"/>
    <w:rsid w:val="0051064F"/>
    <w:rsid w:val="00513461"/>
    <w:rsid w:val="00513A0E"/>
    <w:rsid w:val="00515D7B"/>
    <w:rsid w:val="00515F29"/>
    <w:rsid w:val="0052009E"/>
    <w:rsid w:val="00523F04"/>
    <w:rsid w:val="00524368"/>
    <w:rsid w:val="0052438C"/>
    <w:rsid w:val="00530161"/>
    <w:rsid w:val="00532DB7"/>
    <w:rsid w:val="00536F71"/>
    <w:rsid w:val="00544342"/>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35"/>
    <w:rsid w:val="0057154B"/>
    <w:rsid w:val="0057278A"/>
    <w:rsid w:val="005742DB"/>
    <w:rsid w:val="00575C75"/>
    <w:rsid w:val="00577209"/>
    <w:rsid w:val="005800A9"/>
    <w:rsid w:val="00581139"/>
    <w:rsid w:val="00581645"/>
    <w:rsid w:val="0058694E"/>
    <w:rsid w:val="005875F9"/>
    <w:rsid w:val="00593A35"/>
    <w:rsid w:val="00593C74"/>
    <w:rsid w:val="00594934"/>
    <w:rsid w:val="005954CF"/>
    <w:rsid w:val="00597D8B"/>
    <w:rsid w:val="005A46FF"/>
    <w:rsid w:val="005A557E"/>
    <w:rsid w:val="005A63FD"/>
    <w:rsid w:val="005B462A"/>
    <w:rsid w:val="005B5137"/>
    <w:rsid w:val="005B6047"/>
    <w:rsid w:val="005C0ED7"/>
    <w:rsid w:val="005C5409"/>
    <w:rsid w:val="005C62A5"/>
    <w:rsid w:val="005C6FF7"/>
    <w:rsid w:val="005C7D00"/>
    <w:rsid w:val="005D01A4"/>
    <w:rsid w:val="005D0BAB"/>
    <w:rsid w:val="005D1893"/>
    <w:rsid w:val="005D26E9"/>
    <w:rsid w:val="005D2CAA"/>
    <w:rsid w:val="005D4B66"/>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1CB2"/>
    <w:rsid w:val="0061321C"/>
    <w:rsid w:val="00613F44"/>
    <w:rsid w:val="006160BD"/>
    <w:rsid w:val="00620EDB"/>
    <w:rsid w:val="0062386E"/>
    <w:rsid w:val="00624C10"/>
    <w:rsid w:val="006253EF"/>
    <w:rsid w:val="00626075"/>
    <w:rsid w:val="0062680E"/>
    <w:rsid w:val="00630C47"/>
    <w:rsid w:val="00631158"/>
    <w:rsid w:val="00632923"/>
    <w:rsid w:val="006341E6"/>
    <w:rsid w:val="00634439"/>
    <w:rsid w:val="006366C6"/>
    <w:rsid w:val="00636B55"/>
    <w:rsid w:val="00636EB1"/>
    <w:rsid w:val="006373D6"/>
    <w:rsid w:val="006403D4"/>
    <w:rsid w:val="00642CBC"/>
    <w:rsid w:val="0064454A"/>
    <w:rsid w:val="00645293"/>
    <w:rsid w:val="006456D3"/>
    <w:rsid w:val="00651B78"/>
    <w:rsid w:val="0065237A"/>
    <w:rsid w:val="00652FF5"/>
    <w:rsid w:val="0065303C"/>
    <w:rsid w:val="00653246"/>
    <w:rsid w:val="00654382"/>
    <w:rsid w:val="006548FA"/>
    <w:rsid w:val="0066098B"/>
    <w:rsid w:val="00661244"/>
    <w:rsid w:val="006640DF"/>
    <w:rsid w:val="00666A3C"/>
    <w:rsid w:val="00667519"/>
    <w:rsid w:val="006676A0"/>
    <w:rsid w:val="00670857"/>
    <w:rsid w:val="00670868"/>
    <w:rsid w:val="00673D69"/>
    <w:rsid w:val="00676431"/>
    <w:rsid w:val="00677A9C"/>
    <w:rsid w:val="0068050D"/>
    <w:rsid w:val="00684C6B"/>
    <w:rsid w:val="00685FFC"/>
    <w:rsid w:val="00686943"/>
    <w:rsid w:val="00686EDE"/>
    <w:rsid w:val="00687AD5"/>
    <w:rsid w:val="00690A31"/>
    <w:rsid w:val="006911CE"/>
    <w:rsid w:val="00692002"/>
    <w:rsid w:val="00695251"/>
    <w:rsid w:val="00695B58"/>
    <w:rsid w:val="006A1153"/>
    <w:rsid w:val="006A4828"/>
    <w:rsid w:val="006A7C09"/>
    <w:rsid w:val="006B046C"/>
    <w:rsid w:val="006B252F"/>
    <w:rsid w:val="006B3940"/>
    <w:rsid w:val="006B4B1E"/>
    <w:rsid w:val="006B7FA5"/>
    <w:rsid w:val="006C168D"/>
    <w:rsid w:val="006C21E6"/>
    <w:rsid w:val="006C4033"/>
    <w:rsid w:val="006C5BC9"/>
    <w:rsid w:val="006C642C"/>
    <w:rsid w:val="006C7247"/>
    <w:rsid w:val="006D462B"/>
    <w:rsid w:val="006D7386"/>
    <w:rsid w:val="006E0DAD"/>
    <w:rsid w:val="006E313F"/>
    <w:rsid w:val="006E6CA2"/>
    <w:rsid w:val="006F1F1A"/>
    <w:rsid w:val="006F5AC2"/>
    <w:rsid w:val="006F6C28"/>
    <w:rsid w:val="007007EB"/>
    <w:rsid w:val="00701109"/>
    <w:rsid w:val="00701F57"/>
    <w:rsid w:val="00701FD8"/>
    <w:rsid w:val="00703E8A"/>
    <w:rsid w:val="00706046"/>
    <w:rsid w:val="007112F0"/>
    <w:rsid w:val="00711343"/>
    <w:rsid w:val="00714309"/>
    <w:rsid w:val="0071450F"/>
    <w:rsid w:val="00717772"/>
    <w:rsid w:val="00720B42"/>
    <w:rsid w:val="00721DBE"/>
    <w:rsid w:val="007226EC"/>
    <w:rsid w:val="00722B5E"/>
    <w:rsid w:val="00724F6D"/>
    <w:rsid w:val="0072678C"/>
    <w:rsid w:val="00732D1D"/>
    <w:rsid w:val="00734119"/>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36C2"/>
    <w:rsid w:val="00784FE0"/>
    <w:rsid w:val="007858B1"/>
    <w:rsid w:val="0078648E"/>
    <w:rsid w:val="00790803"/>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D7C43"/>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0AC0"/>
    <w:rsid w:val="00842100"/>
    <w:rsid w:val="008428A9"/>
    <w:rsid w:val="0084308F"/>
    <w:rsid w:val="00846C2B"/>
    <w:rsid w:val="0085139A"/>
    <w:rsid w:val="008524F6"/>
    <w:rsid w:val="008532F3"/>
    <w:rsid w:val="00854B3F"/>
    <w:rsid w:val="00861C2C"/>
    <w:rsid w:val="00863744"/>
    <w:rsid w:val="00865CFA"/>
    <w:rsid w:val="008668B8"/>
    <w:rsid w:val="0086748F"/>
    <w:rsid w:val="00867B4D"/>
    <w:rsid w:val="00867CF3"/>
    <w:rsid w:val="00874AA3"/>
    <w:rsid w:val="00874AB5"/>
    <w:rsid w:val="00877671"/>
    <w:rsid w:val="00877A13"/>
    <w:rsid w:val="008811F8"/>
    <w:rsid w:val="008869BC"/>
    <w:rsid w:val="00887DDD"/>
    <w:rsid w:val="00887DE6"/>
    <w:rsid w:val="00887E9F"/>
    <w:rsid w:val="008908AA"/>
    <w:rsid w:val="00890E08"/>
    <w:rsid w:val="008927F0"/>
    <w:rsid w:val="00894DCA"/>
    <w:rsid w:val="00896602"/>
    <w:rsid w:val="00897D88"/>
    <w:rsid w:val="008A00BE"/>
    <w:rsid w:val="008A1539"/>
    <w:rsid w:val="008A2C5D"/>
    <w:rsid w:val="008A3BE2"/>
    <w:rsid w:val="008A6957"/>
    <w:rsid w:val="008A6B30"/>
    <w:rsid w:val="008B05E7"/>
    <w:rsid w:val="008B0758"/>
    <w:rsid w:val="008B1875"/>
    <w:rsid w:val="008B4146"/>
    <w:rsid w:val="008B5312"/>
    <w:rsid w:val="008B59CE"/>
    <w:rsid w:val="008B6078"/>
    <w:rsid w:val="008B6085"/>
    <w:rsid w:val="008B7110"/>
    <w:rsid w:val="008B7F4A"/>
    <w:rsid w:val="008C04E1"/>
    <w:rsid w:val="008C04FE"/>
    <w:rsid w:val="008C2F50"/>
    <w:rsid w:val="008C3109"/>
    <w:rsid w:val="008C32F7"/>
    <w:rsid w:val="008C383A"/>
    <w:rsid w:val="008C5312"/>
    <w:rsid w:val="008C5DBD"/>
    <w:rsid w:val="008C61D6"/>
    <w:rsid w:val="008C7498"/>
    <w:rsid w:val="008D49AF"/>
    <w:rsid w:val="008D4A2B"/>
    <w:rsid w:val="008D4A9F"/>
    <w:rsid w:val="008D6294"/>
    <w:rsid w:val="008E1FE0"/>
    <w:rsid w:val="008E3939"/>
    <w:rsid w:val="008E3DDD"/>
    <w:rsid w:val="008F23F4"/>
    <w:rsid w:val="008F61C4"/>
    <w:rsid w:val="008F7763"/>
    <w:rsid w:val="009007CB"/>
    <w:rsid w:val="009010F0"/>
    <w:rsid w:val="00901162"/>
    <w:rsid w:val="00901C2E"/>
    <w:rsid w:val="00901D46"/>
    <w:rsid w:val="009028E2"/>
    <w:rsid w:val="00903692"/>
    <w:rsid w:val="00904E07"/>
    <w:rsid w:val="00906059"/>
    <w:rsid w:val="00912BAF"/>
    <w:rsid w:val="0091311E"/>
    <w:rsid w:val="00914EAB"/>
    <w:rsid w:val="0091541F"/>
    <w:rsid w:val="00920D98"/>
    <w:rsid w:val="0092108C"/>
    <w:rsid w:val="00922D49"/>
    <w:rsid w:val="009238DB"/>
    <w:rsid w:val="00925E37"/>
    <w:rsid w:val="00925EDD"/>
    <w:rsid w:val="0092665C"/>
    <w:rsid w:val="00930079"/>
    <w:rsid w:val="00930966"/>
    <w:rsid w:val="00932F64"/>
    <w:rsid w:val="00935FB1"/>
    <w:rsid w:val="00936075"/>
    <w:rsid w:val="00936D40"/>
    <w:rsid w:val="00937ABF"/>
    <w:rsid w:val="00937DB1"/>
    <w:rsid w:val="009463CC"/>
    <w:rsid w:val="0094687A"/>
    <w:rsid w:val="00950413"/>
    <w:rsid w:val="0095078E"/>
    <w:rsid w:val="00952404"/>
    <w:rsid w:val="00952A72"/>
    <w:rsid w:val="009542B3"/>
    <w:rsid w:val="009550A8"/>
    <w:rsid w:val="00955FF2"/>
    <w:rsid w:val="0095693D"/>
    <w:rsid w:val="00956B0D"/>
    <w:rsid w:val="0096224F"/>
    <w:rsid w:val="0096260B"/>
    <w:rsid w:val="009631C1"/>
    <w:rsid w:val="00970C69"/>
    <w:rsid w:val="00973B57"/>
    <w:rsid w:val="00973E0D"/>
    <w:rsid w:val="0097403F"/>
    <w:rsid w:val="00976797"/>
    <w:rsid w:val="00980C0C"/>
    <w:rsid w:val="00982E47"/>
    <w:rsid w:val="00983E7D"/>
    <w:rsid w:val="00991642"/>
    <w:rsid w:val="0099260C"/>
    <w:rsid w:val="009942F4"/>
    <w:rsid w:val="00995B3C"/>
    <w:rsid w:val="00996BCA"/>
    <w:rsid w:val="00997454"/>
    <w:rsid w:val="009A045B"/>
    <w:rsid w:val="009A0513"/>
    <w:rsid w:val="009A1119"/>
    <w:rsid w:val="009A2283"/>
    <w:rsid w:val="009A31AF"/>
    <w:rsid w:val="009A3507"/>
    <w:rsid w:val="009A529F"/>
    <w:rsid w:val="009A5C1D"/>
    <w:rsid w:val="009A6018"/>
    <w:rsid w:val="009A7C28"/>
    <w:rsid w:val="009B0273"/>
    <w:rsid w:val="009B4286"/>
    <w:rsid w:val="009B5BF9"/>
    <w:rsid w:val="009B5DAF"/>
    <w:rsid w:val="009B5F83"/>
    <w:rsid w:val="009B61C5"/>
    <w:rsid w:val="009B769E"/>
    <w:rsid w:val="009C03E5"/>
    <w:rsid w:val="009C3F17"/>
    <w:rsid w:val="009C4D19"/>
    <w:rsid w:val="009C5FDB"/>
    <w:rsid w:val="009C65AF"/>
    <w:rsid w:val="009C70CB"/>
    <w:rsid w:val="009C74DD"/>
    <w:rsid w:val="009D0312"/>
    <w:rsid w:val="009D27AA"/>
    <w:rsid w:val="009D2AD9"/>
    <w:rsid w:val="009D514E"/>
    <w:rsid w:val="009D5A40"/>
    <w:rsid w:val="009D5C39"/>
    <w:rsid w:val="009D6FED"/>
    <w:rsid w:val="009E0A95"/>
    <w:rsid w:val="009E0D47"/>
    <w:rsid w:val="009E549D"/>
    <w:rsid w:val="009E54AF"/>
    <w:rsid w:val="009E5C59"/>
    <w:rsid w:val="009E6BB8"/>
    <w:rsid w:val="009F0FB1"/>
    <w:rsid w:val="009F1CC3"/>
    <w:rsid w:val="009F26F2"/>
    <w:rsid w:val="009F3E1E"/>
    <w:rsid w:val="009F4CC5"/>
    <w:rsid w:val="009F6550"/>
    <w:rsid w:val="00A003BE"/>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17E5B"/>
    <w:rsid w:val="00A20263"/>
    <w:rsid w:val="00A2168F"/>
    <w:rsid w:val="00A248B1"/>
    <w:rsid w:val="00A26437"/>
    <w:rsid w:val="00A30E4D"/>
    <w:rsid w:val="00A32410"/>
    <w:rsid w:val="00A32B48"/>
    <w:rsid w:val="00A35D6F"/>
    <w:rsid w:val="00A36D00"/>
    <w:rsid w:val="00A42462"/>
    <w:rsid w:val="00A43389"/>
    <w:rsid w:val="00A4642E"/>
    <w:rsid w:val="00A47AF8"/>
    <w:rsid w:val="00A52D75"/>
    <w:rsid w:val="00A53013"/>
    <w:rsid w:val="00A54BD6"/>
    <w:rsid w:val="00A5643A"/>
    <w:rsid w:val="00A57678"/>
    <w:rsid w:val="00A6090C"/>
    <w:rsid w:val="00A6200E"/>
    <w:rsid w:val="00A62D1E"/>
    <w:rsid w:val="00A65C6D"/>
    <w:rsid w:val="00A670C7"/>
    <w:rsid w:val="00A716B9"/>
    <w:rsid w:val="00A720D8"/>
    <w:rsid w:val="00A72216"/>
    <w:rsid w:val="00A733F2"/>
    <w:rsid w:val="00A75705"/>
    <w:rsid w:val="00A75BE1"/>
    <w:rsid w:val="00A8187C"/>
    <w:rsid w:val="00A82C9E"/>
    <w:rsid w:val="00A8324F"/>
    <w:rsid w:val="00A84193"/>
    <w:rsid w:val="00A85142"/>
    <w:rsid w:val="00A875B4"/>
    <w:rsid w:val="00A95B37"/>
    <w:rsid w:val="00A96B6F"/>
    <w:rsid w:val="00AA0CE8"/>
    <w:rsid w:val="00AA35FD"/>
    <w:rsid w:val="00AA3DB7"/>
    <w:rsid w:val="00AA5EF2"/>
    <w:rsid w:val="00AA5F63"/>
    <w:rsid w:val="00AA7EBD"/>
    <w:rsid w:val="00AB0590"/>
    <w:rsid w:val="00AB1112"/>
    <w:rsid w:val="00AB67DE"/>
    <w:rsid w:val="00AB69EF"/>
    <w:rsid w:val="00AC11DC"/>
    <w:rsid w:val="00AC23B0"/>
    <w:rsid w:val="00AC3E87"/>
    <w:rsid w:val="00AC469F"/>
    <w:rsid w:val="00AD0611"/>
    <w:rsid w:val="00AD0E4F"/>
    <w:rsid w:val="00AD26D7"/>
    <w:rsid w:val="00AD3905"/>
    <w:rsid w:val="00AD4555"/>
    <w:rsid w:val="00AD4A31"/>
    <w:rsid w:val="00AD5638"/>
    <w:rsid w:val="00AD7214"/>
    <w:rsid w:val="00AE1066"/>
    <w:rsid w:val="00AE12A4"/>
    <w:rsid w:val="00AE2480"/>
    <w:rsid w:val="00AE2E1B"/>
    <w:rsid w:val="00AE5129"/>
    <w:rsid w:val="00AE5645"/>
    <w:rsid w:val="00AE68BC"/>
    <w:rsid w:val="00AF1D6B"/>
    <w:rsid w:val="00AF24AA"/>
    <w:rsid w:val="00AF3AF9"/>
    <w:rsid w:val="00AF3E5F"/>
    <w:rsid w:val="00AF44C1"/>
    <w:rsid w:val="00AF4F09"/>
    <w:rsid w:val="00AF643E"/>
    <w:rsid w:val="00AF79C8"/>
    <w:rsid w:val="00B00FA8"/>
    <w:rsid w:val="00B011B0"/>
    <w:rsid w:val="00B0391C"/>
    <w:rsid w:val="00B047F6"/>
    <w:rsid w:val="00B06019"/>
    <w:rsid w:val="00B06246"/>
    <w:rsid w:val="00B0700F"/>
    <w:rsid w:val="00B1493B"/>
    <w:rsid w:val="00B15119"/>
    <w:rsid w:val="00B17169"/>
    <w:rsid w:val="00B23996"/>
    <w:rsid w:val="00B23CB2"/>
    <w:rsid w:val="00B249C0"/>
    <w:rsid w:val="00B24A18"/>
    <w:rsid w:val="00B255C5"/>
    <w:rsid w:val="00B25807"/>
    <w:rsid w:val="00B268DD"/>
    <w:rsid w:val="00B32AE1"/>
    <w:rsid w:val="00B35FEC"/>
    <w:rsid w:val="00B37780"/>
    <w:rsid w:val="00B37813"/>
    <w:rsid w:val="00B37EEF"/>
    <w:rsid w:val="00B404F1"/>
    <w:rsid w:val="00B41C1D"/>
    <w:rsid w:val="00B43917"/>
    <w:rsid w:val="00B4515C"/>
    <w:rsid w:val="00B46220"/>
    <w:rsid w:val="00B464EA"/>
    <w:rsid w:val="00B47574"/>
    <w:rsid w:val="00B5430C"/>
    <w:rsid w:val="00B54884"/>
    <w:rsid w:val="00B56A90"/>
    <w:rsid w:val="00B5711C"/>
    <w:rsid w:val="00B57BCF"/>
    <w:rsid w:val="00B57E36"/>
    <w:rsid w:val="00B60209"/>
    <w:rsid w:val="00B606A3"/>
    <w:rsid w:val="00B625CB"/>
    <w:rsid w:val="00B63F2B"/>
    <w:rsid w:val="00B64D3A"/>
    <w:rsid w:val="00B65D6F"/>
    <w:rsid w:val="00B673F3"/>
    <w:rsid w:val="00B67A25"/>
    <w:rsid w:val="00B7354A"/>
    <w:rsid w:val="00B7435B"/>
    <w:rsid w:val="00B74446"/>
    <w:rsid w:val="00B74B59"/>
    <w:rsid w:val="00B75F09"/>
    <w:rsid w:val="00B76BBB"/>
    <w:rsid w:val="00B77142"/>
    <w:rsid w:val="00B8024E"/>
    <w:rsid w:val="00B80C3A"/>
    <w:rsid w:val="00B84643"/>
    <w:rsid w:val="00B90452"/>
    <w:rsid w:val="00B90780"/>
    <w:rsid w:val="00B916D6"/>
    <w:rsid w:val="00B91AD8"/>
    <w:rsid w:val="00B9209B"/>
    <w:rsid w:val="00B9240D"/>
    <w:rsid w:val="00B95753"/>
    <w:rsid w:val="00B97E42"/>
    <w:rsid w:val="00BA0425"/>
    <w:rsid w:val="00BA0C05"/>
    <w:rsid w:val="00BA54D0"/>
    <w:rsid w:val="00BA7E30"/>
    <w:rsid w:val="00BB04BF"/>
    <w:rsid w:val="00BB1013"/>
    <w:rsid w:val="00BB4515"/>
    <w:rsid w:val="00BB7B89"/>
    <w:rsid w:val="00BC1A9B"/>
    <w:rsid w:val="00BC2A22"/>
    <w:rsid w:val="00BC4986"/>
    <w:rsid w:val="00BC5E2E"/>
    <w:rsid w:val="00BC6379"/>
    <w:rsid w:val="00BC6C3E"/>
    <w:rsid w:val="00BC7EEF"/>
    <w:rsid w:val="00BD2308"/>
    <w:rsid w:val="00BD43BB"/>
    <w:rsid w:val="00BD72C1"/>
    <w:rsid w:val="00BD7ADE"/>
    <w:rsid w:val="00BE1A85"/>
    <w:rsid w:val="00BE46ED"/>
    <w:rsid w:val="00BE4FD1"/>
    <w:rsid w:val="00BE642D"/>
    <w:rsid w:val="00BE6D7A"/>
    <w:rsid w:val="00BF07C4"/>
    <w:rsid w:val="00BF2511"/>
    <w:rsid w:val="00BF377F"/>
    <w:rsid w:val="00BF3F88"/>
    <w:rsid w:val="00BF416F"/>
    <w:rsid w:val="00BF57BE"/>
    <w:rsid w:val="00C0042B"/>
    <w:rsid w:val="00C02E58"/>
    <w:rsid w:val="00C030B6"/>
    <w:rsid w:val="00C04B38"/>
    <w:rsid w:val="00C067B7"/>
    <w:rsid w:val="00C10A09"/>
    <w:rsid w:val="00C121BC"/>
    <w:rsid w:val="00C12FA4"/>
    <w:rsid w:val="00C14D92"/>
    <w:rsid w:val="00C16739"/>
    <w:rsid w:val="00C17F3F"/>
    <w:rsid w:val="00C23BA2"/>
    <w:rsid w:val="00C260A2"/>
    <w:rsid w:val="00C30CFF"/>
    <w:rsid w:val="00C30DEC"/>
    <w:rsid w:val="00C31142"/>
    <w:rsid w:val="00C31DEF"/>
    <w:rsid w:val="00C338EB"/>
    <w:rsid w:val="00C35BB7"/>
    <w:rsid w:val="00C36B35"/>
    <w:rsid w:val="00C400CD"/>
    <w:rsid w:val="00C41617"/>
    <w:rsid w:val="00C4309A"/>
    <w:rsid w:val="00C43F23"/>
    <w:rsid w:val="00C43FF1"/>
    <w:rsid w:val="00C45494"/>
    <w:rsid w:val="00C52D18"/>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167A"/>
    <w:rsid w:val="00C92451"/>
    <w:rsid w:val="00C9272C"/>
    <w:rsid w:val="00C97764"/>
    <w:rsid w:val="00C97C9B"/>
    <w:rsid w:val="00CA2211"/>
    <w:rsid w:val="00CA28FE"/>
    <w:rsid w:val="00CA344C"/>
    <w:rsid w:val="00CA7FF7"/>
    <w:rsid w:val="00CB142D"/>
    <w:rsid w:val="00CB29F6"/>
    <w:rsid w:val="00CB2BBF"/>
    <w:rsid w:val="00CB481C"/>
    <w:rsid w:val="00CB4C8C"/>
    <w:rsid w:val="00CB62E1"/>
    <w:rsid w:val="00CB6EFE"/>
    <w:rsid w:val="00CC16F9"/>
    <w:rsid w:val="00CC28A9"/>
    <w:rsid w:val="00CC4183"/>
    <w:rsid w:val="00CC70A4"/>
    <w:rsid w:val="00CC78C7"/>
    <w:rsid w:val="00CD4A0C"/>
    <w:rsid w:val="00CD5CEF"/>
    <w:rsid w:val="00CE06EC"/>
    <w:rsid w:val="00CE592E"/>
    <w:rsid w:val="00CE5BB5"/>
    <w:rsid w:val="00CE5BC5"/>
    <w:rsid w:val="00CF16A4"/>
    <w:rsid w:val="00CF299F"/>
    <w:rsid w:val="00CF3357"/>
    <w:rsid w:val="00CF58DF"/>
    <w:rsid w:val="00D00BC3"/>
    <w:rsid w:val="00D03538"/>
    <w:rsid w:val="00D04410"/>
    <w:rsid w:val="00D05EE7"/>
    <w:rsid w:val="00D06394"/>
    <w:rsid w:val="00D06A9D"/>
    <w:rsid w:val="00D07C15"/>
    <w:rsid w:val="00D11D4F"/>
    <w:rsid w:val="00D13A01"/>
    <w:rsid w:val="00D15733"/>
    <w:rsid w:val="00D20364"/>
    <w:rsid w:val="00D207B2"/>
    <w:rsid w:val="00D2130C"/>
    <w:rsid w:val="00D26746"/>
    <w:rsid w:val="00D26DDD"/>
    <w:rsid w:val="00D27BDC"/>
    <w:rsid w:val="00D3194F"/>
    <w:rsid w:val="00D33751"/>
    <w:rsid w:val="00D36169"/>
    <w:rsid w:val="00D37343"/>
    <w:rsid w:val="00D37495"/>
    <w:rsid w:val="00D41727"/>
    <w:rsid w:val="00D427E4"/>
    <w:rsid w:val="00D45F1B"/>
    <w:rsid w:val="00D47A9E"/>
    <w:rsid w:val="00D52289"/>
    <w:rsid w:val="00D55A37"/>
    <w:rsid w:val="00D55B7E"/>
    <w:rsid w:val="00D564C7"/>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DE3"/>
    <w:rsid w:val="00DA451D"/>
    <w:rsid w:val="00DA64AF"/>
    <w:rsid w:val="00DB1F4F"/>
    <w:rsid w:val="00DB2AC7"/>
    <w:rsid w:val="00DB36E5"/>
    <w:rsid w:val="00DB704C"/>
    <w:rsid w:val="00DC693B"/>
    <w:rsid w:val="00DC7C77"/>
    <w:rsid w:val="00DD0F5D"/>
    <w:rsid w:val="00DD426D"/>
    <w:rsid w:val="00DD74FC"/>
    <w:rsid w:val="00DE117F"/>
    <w:rsid w:val="00DE1769"/>
    <w:rsid w:val="00DE1A17"/>
    <w:rsid w:val="00DE44C8"/>
    <w:rsid w:val="00DE64CC"/>
    <w:rsid w:val="00DE6AA9"/>
    <w:rsid w:val="00DE7B30"/>
    <w:rsid w:val="00DF0C0B"/>
    <w:rsid w:val="00DF18FE"/>
    <w:rsid w:val="00DF20C7"/>
    <w:rsid w:val="00DF4D0C"/>
    <w:rsid w:val="00DF5C20"/>
    <w:rsid w:val="00DF7D81"/>
    <w:rsid w:val="00E02DEB"/>
    <w:rsid w:val="00E042A1"/>
    <w:rsid w:val="00E0476C"/>
    <w:rsid w:val="00E0576B"/>
    <w:rsid w:val="00E067EA"/>
    <w:rsid w:val="00E06D18"/>
    <w:rsid w:val="00E104FA"/>
    <w:rsid w:val="00E12F1F"/>
    <w:rsid w:val="00E1320D"/>
    <w:rsid w:val="00E139F8"/>
    <w:rsid w:val="00E16022"/>
    <w:rsid w:val="00E1738C"/>
    <w:rsid w:val="00E174FF"/>
    <w:rsid w:val="00E205AA"/>
    <w:rsid w:val="00E22296"/>
    <w:rsid w:val="00E270C6"/>
    <w:rsid w:val="00E27360"/>
    <w:rsid w:val="00E27C04"/>
    <w:rsid w:val="00E27C82"/>
    <w:rsid w:val="00E30713"/>
    <w:rsid w:val="00E30EDF"/>
    <w:rsid w:val="00E312D7"/>
    <w:rsid w:val="00E316AF"/>
    <w:rsid w:val="00E31FBA"/>
    <w:rsid w:val="00E328E2"/>
    <w:rsid w:val="00E336BB"/>
    <w:rsid w:val="00E3384E"/>
    <w:rsid w:val="00E34B63"/>
    <w:rsid w:val="00E374C8"/>
    <w:rsid w:val="00E40156"/>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356F"/>
    <w:rsid w:val="00E75116"/>
    <w:rsid w:val="00E763EB"/>
    <w:rsid w:val="00E80A5B"/>
    <w:rsid w:val="00E8153C"/>
    <w:rsid w:val="00E8342F"/>
    <w:rsid w:val="00E84632"/>
    <w:rsid w:val="00E847EE"/>
    <w:rsid w:val="00E85E29"/>
    <w:rsid w:val="00E876F9"/>
    <w:rsid w:val="00E90508"/>
    <w:rsid w:val="00E90B39"/>
    <w:rsid w:val="00E94FFB"/>
    <w:rsid w:val="00E96A72"/>
    <w:rsid w:val="00E96B52"/>
    <w:rsid w:val="00EA01F7"/>
    <w:rsid w:val="00EA083F"/>
    <w:rsid w:val="00EA1D33"/>
    <w:rsid w:val="00EA1F5A"/>
    <w:rsid w:val="00EA375F"/>
    <w:rsid w:val="00EA6415"/>
    <w:rsid w:val="00EA7104"/>
    <w:rsid w:val="00EA7533"/>
    <w:rsid w:val="00EB067F"/>
    <w:rsid w:val="00EB2419"/>
    <w:rsid w:val="00EB45F5"/>
    <w:rsid w:val="00EB58F5"/>
    <w:rsid w:val="00EB6E6B"/>
    <w:rsid w:val="00EC010F"/>
    <w:rsid w:val="00EC224D"/>
    <w:rsid w:val="00EC2E3A"/>
    <w:rsid w:val="00EC3CCB"/>
    <w:rsid w:val="00EC54CD"/>
    <w:rsid w:val="00EC5A74"/>
    <w:rsid w:val="00EC737D"/>
    <w:rsid w:val="00ED2154"/>
    <w:rsid w:val="00ED4277"/>
    <w:rsid w:val="00ED576D"/>
    <w:rsid w:val="00ED7C8C"/>
    <w:rsid w:val="00ED7DDB"/>
    <w:rsid w:val="00ED7FDD"/>
    <w:rsid w:val="00EE0DEA"/>
    <w:rsid w:val="00EE431B"/>
    <w:rsid w:val="00EE4874"/>
    <w:rsid w:val="00EE53E5"/>
    <w:rsid w:val="00EE6654"/>
    <w:rsid w:val="00EE73FB"/>
    <w:rsid w:val="00EE7BF0"/>
    <w:rsid w:val="00EF2674"/>
    <w:rsid w:val="00EF556F"/>
    <w:rsid w:val="00EF7BE0"/>
    <w:rsid w:val="00EF7D07"/>
    <w:rsid w:val="00F016DD"/>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33991"/>
    <w:rsid w:val="00F3477D"/>
    <w:rsid w:val="00F347FE"/>
    <w:rsid w:val="00F34859"/>
    <w:rsid w:val="00F356F7"/>
    <w:rsid w:val="00F40055"/>
    <w:rsid w:val="00F40868"/>
    <w:rsid w:val="00F44FDE"/>
    <w:rsid w:val="00F4518C"/>
    <w:rsid w:val="00F46467"/>
    <w:rsid w:val="00F4715C"/>
    <w:rsid w:val="00F47FF8"/>
    <w:rsid w:val="00F50707"/>
    <w:rsid w:val="00F529B5"/>
    <w:rsid w:val="00F52AA4"/>
    <w:rsid w:val="00F56162"/>
    <w:rsid w:val="00F56B7E"/>
    <w:rsid w:val="00F6052F"/>
    <w:rsid w:val="00F60F44"/>
    <w:rsid w:val="00F62FDE"/>
    <w:rsid w:val="00F645D2"/>
    <w:rsid w:val="00F654E6"/>
    <w:rsid w:val="00F662CD"/>
    <w:rsid w:val="00F67E39"/>
    <w:rsid w:val="00F703A8"/>
    <w:rsid w:val="00F707F1"/>
    <w:rsid w:val="00F7094A"/>
    <w:rsid w:val="00F710BE"/>
    <w:rsid w:val="00F72579"/>
    <w:rsid w:val="00F804B9"/>
    <w:rsid w:val="00F80AE2"/>
    <w:rsid w:val="00F8265F"/>
    <w:rsid w:val="00F83FF9"/>
    <w:rsid w:val="00F85FCB"/>
    <w:rsid w:val="00F870C3"/>
    <w:rsid w:val="00F91B52"/>
    <w:rsid w:val="00F97478"/>
    <w:rsid w:val="00F97B71"/>
    <w:rsid w:val="00F97B9E"/>
    <w:rsid w:val="00FA0527"/>
    <w:rsid w:val="00FA085E"/>
    <w:rsid w:val="00FA0947"/>
    <w:rsid w:val="00FA2D49"/>
    <w:rsid w:val="00FA472B"/>
    <w:rsid w:val="00FA4B52"/>
    <w:rsid w:val="00FA4D4F"/>
    <w:rsid w:val="00FA4D5B"/>
    <w:rsid w:val="00FA54E8"/>
    <w:rsid w:val="00FA6245"/>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1E47"/>
    <w:rsid w:val="00FE275D"/>
    <w:rsid w:val="00FE4F1A"/>
    <w:rsid w:val="00FE65AC"/>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47855723-4214-4638-95C1-2242D386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6A4828"/>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180952"/>
    <w:rPr>
      <w:b/>
      <w:kern w:val="44"/>
      <w:sz w:val="44"/>
    </w:rPr>
  </w:style>
  <w:style w:type="character" w:customStyle="1" w:styleId="2Char">
    <w:name w:val="标题 2 Char"/>
    <w:link w:val="2"/>
    <w:uiPriority w:val="99"/>
    <w:semiHidden/>
    <w:locked/>
    <w:rsid w:val="00AB1112"/>
    <w:rPr>
      <w:rFonts w:ascii="Cambria" w:eastAsia="宋体" w:hAnsi="Cambria"/>
      <w:b/>
      <w:sz w:val="32"/>
    </w:rPr>
  </w:style>
  <w:style w:type="paragraph" w:styleId="a0">
    <w:name w:val="Normal Indent"/>
    <w:basedOn w:val="a"/>
    <w:uiPriority w:val="99"/>
    <w:rsid w:val="006A4828"/>
    <w:pPr>
      <w:ind w:firstLineChars="200" w:firstLine="420"/>
    </w:pPr>
  </w:style>
  <w:style w:type="paragraph" w:styleId="a4">
    <w:name w:val="Body Text Indent"/>
    <w:basedOn w:val="a"/>
    <w:link w:val="Char"/>
    <w:uiPriority w:val="99"/>
    <w:rsid w:val="006A4828"/>
    <w:pPr>
      <w:widowControl/>
      <w:spacing w:before="100" w:beforeAutospacing="1" w:after="100" w:afterAutospacing="1"/>
      <w:jc w:val="left"/>
    </w:pPr>
    <w:rPr>
      <w:kern w:val="0"/>
      <w:sz w:val="24"/>
    </w:rPr>
  </w:style>
  <w:style w:type="character" w:customStyle="1" w:styleId="Char">
    <w:name w:val="正文文本缩进 Char"/>
    <w:link w:val="a4"/>
    <w:uiPriority w:val="99"/>
    <w:semiHidden/>
    <w:locked/>
    <w:rsid w:val="00AB1112"/>
    <w:rPr>
      <w:sz w:val="24"/>
    </w:rPr>
  </w:style>
  <w:style w:type="paragraph" w:styleId="a5">
    <w:name w:val="Plain Text"/>
    <w:basedOn w:val="a"/>
    <w:link w:val="Char0"/>
    <w:uiPriority w:val="99"/>
    <w:rsid w:val="006A4828"/>
    <w:rPr>
      <w:rFonts w:ascii="宋体" w:hAnsi="Courier New"/>
      <w:szCs w:val="21"/>
    </w:rPr>
  </w:style>
  <w:style w:type="character" w:customStyle="1" w:styleId="Char0">
    <w:name w:val="纯文本 Char"/>
    <w:link w:val="a5"/>
    <w:uiPriority w:val="99"/>
    <w:locked/>
    <w:rsid w:val="009A045B"/>
    <w:rPr>
      <w:rFonts w:ascii="宋体" w:hAnsi="Courier New"/>
      <w:kern w:val="2"/>
      <w:sz w:val="21"/>
    </w:rPr>
  </w:style>
  <w:style w:type="paragraph" w:styleId="20">
    <w:name w:val="Body Text Indent 2"/>
    <w:basedOn w:val="a"/>
    <w:link w:val="2Char0"/>
    <w:uiPriority w:val="99"/>
    <w:rsid w:val="006A4828"/>
    <w:pPr>
      <w:spacing w:line="560" w:lineRule="exact"/>
      <w:ind w:firstLineChars="200" w:firstLine="480"/>
    </w:pPr>
    <w:rPr>
      <w:kern w:val="0"/>
      <w:sz w:val="24"/>
    </w:rPr>
  </w:style>
  <w:style w:type="character" w:customStyle="1" w:styleId="2Char0">
    <w:name w:val="正文文本缩进 2 Char"/>
    <w:link w:val="20"/>
    <w:uiPriority w:val="99"/>
    <w:semiHidden/>
    <w:locked/>
    <w:rsid w:val="00AB1112"/>
    <w:rPr>
      <w:sz w:val="24"/>
    </w:rPr>
  </w:style>
  <w:style w:type="paragraph" w:styleId="a6">
    <w:name w:val="footer"/>
    <w:basedOn w:val="a"/>
    <w:link w:val="Char1"/>
    <w:uiPriority w:val="99"/>
    <w:rsid w:val="006A4828"/>
    <w:pPr>
      <w:tabs>
        <w:tab w:val="center" w:pos="4153"/>
        <w:tab w:val="right" w:pos="8306"/>
      </w:tabs>
      <w:snapToGrid w:val="0"/>
      <w:jc w:val="left"/>
    </w:pPr>
    <w:rPr>
      <w:kern w:val="0"/>
      <w:sz w:val="18"/>
      <w:szCs w:val="18"/>
    </w:rPr>
  </w:style>
  <w:style w:type="character" w:customStyle="1" w:styleId="Char1">
    <w:name w:val="页脚 Char"/>
    <w:link w:val="a6"/>
    <w:uiPriority w:val="99"/>
    <w:semiHidden/>
    <w:locked/>
    <w:rsid w:val="00AB1112"/>
    <w:rPr>
      <w:sz w:val="18"/>
    </w:rPr>
  </w:style>
  <w:style w:type="character" w:styleId="a7">
    <w:name w:val="page number"/>
    <w:uiPriority w:val="99"/>
    <w:rsid w:val="006A4828"/>
    <w:rPr>
      <w:rFonts w:cs="Times New Roman"/>
    </w:rPr>
  </w:style>
  <w:style w:type="character" w:styleId="a8">
    <w:name w:val="Hyperlink"/>
    <w:uiPriority w:val="99"/>
    <w:rsid w:val="006A4828"/>
    <w:rPr>
      <w:rFonts w:cs="Times New Roman"/>
      <w:color w:val="0000FF"/>
      <w:u w:val="single"/>
    </w:rPr>
  </w:style>
  <w:style w:type="paragraph" w:styleId="3">
    <w:name w:val="Body Text Indent 3"/>
    <w:basedOn w:val="a"/>
    <w:link w:val="3Char"/>
    <w:uiPriority w:val="99"/>
    <w:rsid w:val="006A4828"/>
    <w:pPr>
      <w:spacing w:line="560" w:lineRule="exact"/>
      <w:ind w:firstLineChars="200" w:firstLine="420"/>
    </w:pPr>
    <w:rPr>
      <w:kern w:val="0"/>
      <w:sz w:val="16"/>
      <w:szCs w:val="16"/>
    </w:rPr>
  </w:style>
  <w:style w:type="character" w:customStyle="1" w:styleId="3Char">
    <w:name w:val="正文文本缩进 3 Char"/>
    <w:link w:val="3"/>
    <w:uiPriority w:val="99"/>
    <w:semiHidden/>
    <w:locked/>
    <w:rsid w:val="00AB1112"/>
    <w:rPr>
      <w:sz w:val="16"/>
    </w:rPr>
  </w:style>
  <w:style w:type="paragraph" w:styleId="a9">
    <w:name w:val="header"/>
    <w:basedOn w:val="a"/>
    <w:link w:val="Char2"/>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1207F2"/>
    <w:rPr>
      <w:kern w:val="2"/>
      <w:sz w:val="18"/>
    </w:rPr>
  </w:style>
  <w:style w:type="character" w:customStyle="1" w:styleId="10">
    <w:name w:val="已访问的超链接1"/>
    <w:uiPriority w:val="99"/>
    <w:rsid w:val="006A4828"/>
    <w:rPr>
      <w:color w:val="800080"/>
      <w:u w:val="single"/>
    </w:rPr>
  </w:style>
  <w:style w:type="paragraph" w:styleId="aa">
    <w:name w:val="List"/>
    <w:basedOn w:val="ab"/>
    <w:uiPriority w:val="99"/>
    <w:rsid w:val="006A4828"/>
    <w:pPr>
      <w:spacing w:after="220" w:line="220" w:lineRule="atLeast"/>
      <w:ind w:left="1440" w:hanging="360"/>
    </w:pPr>
    <w:rPr>
      <w:szCs w:val="20"/>
    </w:rPr>
  </w:style>
  <w:style w:type="paragraph" w:styleId="ab">
    <w:name w:val="Body Text"/>
    <w:basedOn w:val="a"/>
    <w:link w:val="Char3"/>
    <w:uiPriority w:val="99"/>
    <w:rsid w:val="006A4828"/>
    <w:pPr>
      <w:spacing w:after="120"/>
    </w:pPr>
    <w:rPr>
      <w:kern w:val="0"/>
      <w:sz w:val="24"/>
    </w:rPr>
  </w:style>
  <w:style w:type="character" w:customStyle="1" w:styleId="Char3">
    <w:name w:val="正文文本 Char"/>
    <w:link w:val="ab"/>
    <w:uiPriority w:val="99"/>
    <w:semiHidden/>
    <w:locked/>
    <w:rsid w:val="00AB1112"/>
    <w:rPr>
      <w:sz w:val="24"/>
    </w:rPr>
  </w:style>
  <w:style w:type="paragraph" w:styleId="ac">
    <w:name w:val="Date"/>
    <w:basedOn w:val="a"/>
    <w:next w:val="a"/>
    <w:link w:val="Char4"/>
    <w:uiPriority w:val="99"/>
    <w:rsid w:val="006A4828"/>
    <w:rPr>
      <w:sz w:val="24"/>
      <w:szCs w:val="20"/>
    </w:rPr>
  </w:style>
  <w:style w:type="character" w:customStyle="1" w:styleId="Char4">
    <w:name w:val="日期 Char"/>
    <w:link w:val="ac"/>
    <w:uiPriority w:val="99"/>
    <w:locked/>
    <w:rsid w:val="00D66685"/>
    <w:rPr>
      <w:kern w:val="2"/>
      <w:sz w:val="24"/>
    </w:rPr>
  </w:style>
  <w:style w:type="character" w:customStyle="1" w:styleId="c1">
    <w:name w:val="c1"/>
    <w:uiPriority w:val="99"/>
    <w:rsid w:val="006A4828"/>
    <w:rPr>
      <w:color w:val="000000"/>
      <w:sz w:val="18"/>
    </w:rPr>
  </w:style>
  <w:style w:type="paragraph" w:styleId="11">
    <w:name w:val="index 1"/>
    <w:basedOn w:val="a"/>
    <w:next w:val="a"/>
    <w:autoRedefine/>
    <w:uiPriority w:val="99"/>
    <w:semiHidden/>
    <w:rsid w:val="006A4828"/>
    <w:pPr>
      <w:jc w:val="right"/>
    </w:pPr>
    <w:rPr>
      <w:color w:val="008000"/>
    </w:rPr>
  </w:style>
  <w:style w:type="paragraph" w:customStyle="1" w:styleId="font5">
    <w:name w:val="font5"/>
    <w:basedOn w:val="a"/>
    <w:uiPriority w:val="99"/>
    <w:rsid w:val="006A482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link w:val="Char5"/>
    <w:uiPriority w:val="99"/>
    <w:semiHidden/>
    <w:rsid w:val="006A4828"/>
    <w:rPr>
      <w:kern w:val="0"/>
      <w:sz w:val="2"/>
      <w:szCs w:val="20"/>
    </w:rPr>
  </w:style>
  <w:style w:type="character" w:customStyle="1" w:styleId="Char5">
    <w:name w:val="批注框文本 Char"/>
    <w:link w:val="ad"/>
    <w:uiPriority w:val="99"/>
    <w:semiHidden/>
    <w:locked/>
    <w:rsid w:val="00AB1112"/>
    <w:rPr>
      <w:sz w:val="2"/>
    </w:rPr>
  </w:style>
  <w:style w:type="character" w:styleId="ae">
    <w:name w:val="annotation reference"/>
    <w:semiHidden/>
    <w:rsid w:val="006A4828"/>
    <w:rPr>
      <w:rFonts w:cs="Times New Roman"/>
      <w:sz w:val="21"/>
    </w:rPr>
  </w:style>
  <w:style w:type="paragraph" w:styleId="af">
    <w:name w:val="annotation text"/>
    <w:basedOn w:val="a"/>
    <w:link w:val="Char6"/>
    <w:semiHidden/>
    <w:rsid w:val="006A4828"/>
    <w:pPr>
      <w:jc w:val="left"/>
    </w:pPr>
    <w:rPr>
      <w:kern w:val="0"/>
      <w:sz w:val="24"/>
    </w:rPr>
  </w:style>
  <w:style w:type="character" w:customStyle="1" w:styleId="Char6">
    <w:name w:val="批注文字 Char"/>
    <w:link w:val="af"/>
    <w:uiPriority w:val="99"/>
    <w:semiHidden/>
    <w:locked/>
    <w:rsid w:val="00AB1112"/>
    <w:rPr>
      <w:sz w:val="24"/>
    </w:rPr>
  </w:style>
  <w:style w:type="paragraph" w:styleId="af0">
    <w:name w:val="annotation subject"/>
    <w:basedOn w:val="af"/>
    <w:next w:val="af"/>
    <w:link w:val="Char7"/>
    <w:uiPriority w:val="99"/>
    <w:semiHidden/>
    <w:rsid w:val="006A4828"/>
    <w:rPr>
      <w:b/>
      <w:bCs/>
    </w:rPr>
  </w:style>
  <w:style w:type="character" w:customStyle="1" w:styleId="Char7">
    <w:name w:val="批注主题 Char"/>
    <w:link w:val="af0"/>
    <w:uiPriority w:val="99"/>
    <w:semiHidden/>
    <w:locked/>
    <w:rsid w:val="00AB1112"/>
    <w:rPr>
      <w:b/>
      <w:sz w:val="24"/>
    </w:rPr>
  </w:style>
  <w:style w:type="paragraph" w:customStyle="1" w:styleId="Char8">
    <w:name w:val="Char"/>
    <w:basedOn w:val="a"/>
    <w:uiPriority w:val="99"/>
    <w:rsid w:val="006A4828"/>
  </w:style>
  <w:style w:type="paragraph" w:styleId="af1">
    <w:name w:val="Document Map"/>
    <w:basedOn w:val="a"/>
    <w:link w:val="Char9"/>
    <w:uiPriority w:val="99"/>
    <w:semiHidden/>
    <w:rsid w:val="000A549A"/>
    <w:pPr>
      <w:shd w:val="clear" w:color="auto" w:fill="000080"/>
    </w:pPr>
    <w:rPr>
      <w:kern w:val="0"/>
      <w:sz w:val="2"/>
      <w:szCs w:val="20"/>
    </w:rPr>
  </w:style>
  <w:style w:type="character" w:customStyle="1" w:styleId="Char9">
    <w:name w:val="文档结构图 Char"/>
    <w:link w:val="af1"/>
    <w:uiPriority w:val="99"/>
    <w:semiHidden/>
    <w:locked/>
    <w:rsid w:val="00AB1112"/>
    <w:rPr>
      <w:sz w:val="2"/>
    </w:r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a"/>
    <w:uiPriority w:val="99"/>
    <w:rsid w:val="000B251E"/>
    <w:pPr>
      <w:snapToGrid w:val="0"/>
      <w:jc w:val="left"/>
    </w:pPr>
    <w:rPr>
      <w:sz w:val="18"/>
      <w:szCs w:val="18"/>
    </w:rPr>
  </w:style>
  <w:style w:type="character" w:customStyle="1" w:styleId="Chara">
    <w:name w:val="脚注文本 Char"/>
    <w:link w:val="af3"/>
    <w:uiPriority w:val="99"/>
    <w:locked/>
    <w:rsid w:val="00CB481C"/>
    <w:rPr>
      <w:kern w:val="2"/>
      <w:sz w:val="18"/>
    </w:rPr>
  </w:style>
  <w:style w:type="character" w:styleId="af4">
    <w:name w:val="footnote reference"/>
    <w:uiPriority w:val="99"/>
    <w:rsid w:val="000B251E"/>
    <w:rPr>
      <w:rFonts w:cs="Times New Roman"/>
      <w:vertAlign w:val="superscript"/>
    </w:rPr>
  </w:style>
  <w:style w:type="paragraph" w:styleId="af5">
    <w:name w:val="Normal (Web)"/>
    <w:basedOn w:val="a"/>
    <w:uiPriority w:val="99"/>
    <w:rsid w:val="00B25807"/>
    <w:pPr>
      <w:widowControl/>
      <w:spacing w:before="100" w:beforeAutospacing="1" w:after="100" w:afterAutospacing="1"/>
      <w:jc w:val="left"/>
    </w:pPr>
    <w:rPr>
      <w:rFonts w:ascii="宋体" w:hAnsi="宋体"/>
      <w:kern w:val="0"/>
      <w:sz w:val="24"/>
    </w:rPr>
  </w:style>
  <w:style w:type="paragraph" w:customStyle="1" w:styleId="Char10">
    <w:name w:val="Char1"/>
    <w:basedOn w:val="a"/>
    <w:uiPriority w:val="99"/>
    <w:rsid w:val="00D97213"/>
  </w:style>
  <w:style w:type="character" w:customStyle="1" w:styleId="t1">
    <w:name w:val="t1"/>
    <w:uiPriority w:val="99"/>
    <w:rsid w:val="002D2A00"/>
    <w:rPr>
      <w:color w:val="990000"/>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numbering" w:customStyle="1" w:styleId="5">
    <w:name w:val="样式5"/>
    <w:rsid w:val="00C00FED"/>
    <w:pPr>
      <w:numPr>
        <w:numId w:val="8"/>
      </w:numPr>
    </w:pPr>
  </w:style>
  <w:style w:type="character" w:styleId="af6">
    <w:name w:val="Strong"/>
    <w:uiPriority w:val="22"/>
    <w:qFormat/>
    <w:locked/>
    <w:rsid w:val="00AE2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423083">
      <w:marLeft w:val="0"/>
      <w:marRight w:val="0"/>
      <w:marTop w:val="0"/>
      <w:marBottom w:val="0"/>
      <w:divBdr>
        <w:top w:val="none" w:sz="0" w:space="0" w:color="auto"/>
        <w:left w:val="none" w:sz="0" w:space="0" w:color="auto"/>
        <w:bottom w:val="none" w:sz="0" w:space="0" w:color="auto"/>
        <w:right w:val="none" w:sz="0" w:space="0" w:color="auto"/>
      </w:divBdr>
    </w:div>
    <w:div w:id="888423084">
      <w:marLeft w:val="0"/>
      <w:marRight w:val="0"/>
      <w:marTop w:val="0"/>
      <w:marBottom w:val="0"/>
      <w:divBdr>
        <w:top w:val="none" w:sz="0" w:space="0" w:color="auto"/>
        <w:left w:val="none" w:sz="0" w:space="0" w:color="auto"/>
        <w:bottom w:val="none" w:sz="0" w:space="0" w:color="auto"/>
        <w:right w:val="none" w:sz="0" w:space="0" w:color="auto"/>
      </w:divBdr>
    </w:div>
    <w:div w:id="888423085">
      <w:marLeft w:val="0"/>
      <w:marRight w:val="0"/>
      <w:marTop w:val="0"/>
      <w:marBottom w:val="0"/>
      <w:divBdr>
        <w:top w:val="none" w:sz="0" w:space="0" w:color="auto"/>
        <w:left w:val="none" w:sz="0" w:space="0" w:color="auto"/>
        <w:bottom w:val="none" w:sz="0" w:space="0" w:color="auto"/>
        <w:right w:val="none" w:sz="0" w:space="0" w:color="auto"/>
      </w:divBdr>
    </w:div>
    <w:div w:id="888423086">
      <w:marLeft w:val="0"/>
      <w:marRight w:val="0"/>
      <w:marTop w:val="0"/>
      <w:marBottom w:val="0"/>
      <w:divBdr>
        <w:top w:val="none" w:sz="0" w:space="0" w:color="auto"/>
        <w:left w:val="none" w:sz="0" w:space="0" w:color="auto"/>
        <w:bottom w:val="none" w:sz="0" w:space="0" w:color="auto"/>
        <w:right w:val="none" w:sz="0" w:space="0" w:color="auto"/>
      </w:divBdr>
    </w:div>
    <w:div w:id="888423087">
      <w:marLeft w:val="0"/>
      <w:marRight w:val="0"/>
      <w:marTop w:val="0"/>
      <w:marBottom w:val="0"/>
      <w:divBdr>
        <w:top w:val="none" w:sz="0" w:space="0" w:color="auto"/>
        <w:left w:val="none" w:sz="0" w:space="0" w:color="auto"/>
        <w:bottom w:val="none" w:sz="0" w:space="0" w:color="auto"/>
        <w:right w:val="none" w:sz="0" w:space="0" w:color="auto"/>
      </w:divBdr>
    </w:div>
    <w:div w:id="888423088">
      <w:marLeft w:val="0"/>
      <w:marRight w:val="0"/>
      <w:marTop w:val="0"/>
      <w:marBottom w:val="0"/>
      <w:divBdr>
        <w:top w:val="none" w:sz="0" w:space="0" w:color="auto"/>
        <w:left w:val="none" w:sz="0" w:space="0" w:color="auto"/>
        <w:bottom w:val="none" w:sz="0" w:space="0" w:color="auto"/>
        <w:right w:val="none" w:sz="0" w:space="0" w:color="auto"/>
      </w:divBdr>
    </w:div>
    <w:div w:id="888423089">
      <w:marLeft w:val="0"/>
      <w:marRight w:val="0"/>
      <w:marTop w:val="0"/>
      <w:marBottom w:val="0"/>
      <w:divBdr>
        <w:top w:val="none" w:sz="0" w:space="0" w:color="auto"/>
        <w:left w:val="none" w:sz="0" w:space="0" w:color="auto"/>
        <w:bottom w:val="none" w:sz="0" w:space="0" w:color="auto"/>
        <w:right w:val="none" w:sz="0" w:space="0" w:color="auto"/>
      </w:divBdr>
    </w:div>
    <w:div w:id="888423090">
      <w:marLeft w:val="0"/>
      <w:marRight w:val="0"/>
      <w:marTop w:val="0"/>
      <w:marBottom w:val="0"/>
      <w:divBdr>
        <w:top w:val="none" w:sz="0" w:space="0" w:color="auto"/>
        <w:left w:val="none" w:sz="0" w:space="0" w:color="auto"/>
        <w:bottom w:val="none" w:sz="0" w:space="0" w:color="auto"/>
        <w:right w:val="none" w:sz="0" w:space="0" w:color="auto"/>
      </w:divBdr>
    </w:div>
    <w:div w:id="888423091">
      <w:marLeft w:val="0"/>
      <w:marRight w:val="0"/>
      <w:marTop w:val="0"/>
      <w:marBottom w:val="0"/>
      <w:divBdr>
        <w:top w:val="none" w:sz="0" w:space="0" w:color="auto"/>
        <w:left w:val="none" w:sz="0" w:space="0" w:color="auto"/>
        <w:bottom w:val="none" w:sz="0" w:space="0" w:color="auto"/>
        <w:right w:val="none" w:sz="0" w:space="0" w:color="auto"/>
      </w:divBdr>
    </w:div>
    <w:div w:id="888423092">
      <w:marLeft w:val="0"/>
      <w:marRight w:val="0"/>
      <w:marTop w:val="0"/>
      <w:marBottom w:val="0"/>
      <w:divBdr>
        <w:top w:val="none" w:sz="0" w:space="0" w:color="auto"/>
        <w:left w:val="none" w:sz="0" w:space="0" w:color="auto"/>
        <w:bottom w:val="none" w:sz="0" w:space="0" w:color="auto"/>
        <w:right w:val="none" w:sz="0" w:space="0" w:color="auto"/>
      </w:divBdr>
    </w:div>
    <w:div w:id="888423093">
      <w:marLeft w:val="0"/>
      <w:marRight w:val="0"/>
      <w:marTop w:val="0"/>
      <w:marBottom w:val="0"/>
      <w:divBdr>
        <w:top w:val="none" w:sz="0" w:space="0" w:color="auto"/>
        <w:left w:val="none" w:sz="0" w:space="0" w:color="auto"/>
        <w:bottom w:val="none" w:sz="0" w:space="0" w:color="auto"/>
        <w:right w:val="none" w:sz="0" w:space="0" w:color="auto"/>
      </w:divBdr>
    </w:div>
    <w:div w:id="888423095">
      <w:marLeft w:val="0"/>
      <w:marRight w:val="0"/>
      <w:marTop w:val="0"/>
      <w:marBottom w:val="0"/>
      <w:divBdr>
        <w:top w:val="none" w:sz="0" w:space="0" w:color="auto"/>
        <w:left w:val="none" w:sz="0" w:space="0" w:color="auto"/>
        <w:bottom w:val="none" w:sz="0" w:space="0" w:color="auto"/>
        <w:right w:val="none" w:sz="0" w:space="0" w:color="auto"/>
      </w:divBdr>
    </w:div>
    <w:div w:id="888423096">
      <w:marLeft w:val="0"/>
      <w:marRight w:val="0"/>
      <w:marTop w:val="0"/>
      <w:marBottom w:val="0"/>
      <w:divBdr>
        <w:top w:val="none" w:sz="0" w:space="0" w:color="auto"/>
        <w:left w:val="none" w:sz="0" w:space="0" w:color="auto"/>
        <w:bottom w:val="none" w:sz="0" w:space="0" w:color="auto"/>
        <w:right w:val="none" w:sz="0" w:space="0" w:color="auto"/>
      </w:divBdr>
    </w:div>
    <w:div w:id="888423097">
      <w:marLeft w:val="0"/>
      <w:marRight w:val="0"/>
      <w:marTop w:val="0"/>
      <w:marBottom w:val="0"/>
      <w:divBdr>
        <w:top w:val="none" w:sz="0" w:space="0" w:color="auto"/>
        <w:left w:val="none" w:sz="0" w:space="0" w:color="auto"/>
        <w:bottom w:val="none" w:sz="0" w:space="0" w:color="auto"/>
        <w:right w:val="none" w:sz="0" w:space="0" w:color="auto"/>
      </w:divBdr>
    </w:div>
    <w:div w:id="888423098">
      <w:marLeft w:val="0"/>
      <w:marRight w:val="0"/>
      <w:marTop w:val="0"/>
      <w:marBottom w:val="0"/>
      <w:divBdr>
        <w:top w:val="none" w:sz="0" w:space="0" w:color="auto"/>
        <w:left w:val="none" w:sz="0" w:space="0" w:color="auto"/>
        <w:bottom w:val="none" w:sz="0" w:space="0" w:color="auto"/>
        <w:right w:val="none" w:sz="0" w:space="0" w:color="auto"/>
      </w:divBdr>
    </w:div>
    <w:div w:id="888423099">
      <w:marLeft w:val="0"/>
      <w:marRight w:val="0"/>
      <w:marTop w:val="0"/>
      <w:marBottom w:val="0"/>
      <w:divBdr>
        <w:top w:val="none" w:sz="0" w:space="0" w:color="auto"/>
        <w:left w:val="none" w:sz="0" w:space="0" w:color="auto"/>
        <w:bottom w:val="none" w:sz="0" w:space="0" w:color="auto"/>
        <w:right w:val="none" w:sz="0" w:space="0" w:color="auto"/>
      </w:divBdr>
    </w:div>
    <w:div w:id="888423100">
      <w:marLeft w:val="150"/>
      <w:marRight w:val="150"/>
      <w:marTop w:val="150"/>
      <w:marBottom w:val="150"/>
      <w:divBdr>
        <w:top w:val="none" w:sz="0" w:space="0" w:color="auto"/>
        <w:left w:val="none" w:sz="0" w:space="0" w:color="auto"/>
        <w:bottom w:val="none" w:sz="0" w:space="0" w:color="auto"/>
        <w:right w:val="none" w:sz="0" w:space="0" w:color="auto"/>
      </w:divBdr>
      <w:divsChild>
        <w:div w:id="888423094">
          <w:marLeft w:val="0"/>
          <w:marRight w:val="0"/>
          <w:marTop w:val="0"/>
          <w:marBottom w:val="0"/>
          <w:divBdr>
            <w:top w:val="none" w:sz="0" w:space="0" w:color="auto"/>
            <w:left w:val="none" w:sz="0" w:space="0" w:color="auto"/>
            <w:bottom w:val="none" w:sz="0" w:space="0" w:color="auto"/>
            <w:right w:val="none" w:sz="0" w:space="0" w:color="auto"/>
          </w:divBdr>
        </w:div>
      </w:divsChild>
    </w:div>
    <w:div w:id="1691950885">
      <w:bodyDiv w:val="1"/>
      <w:marLeft w:val="0"/>
      <w:marRight w:val="0"/>
      <w:marTop w:val="0"/>
      <w:marBottom w:val="0"/>
      <w:divBdr>
        <w:top w:val="none" w:sz="0" w:space="0" w:color="auto"/>
        <w:left w:val="none" w:sz="0" w:space="0" w:color="auto"/>
        <w:bottom w:val="none" w:sz="0" w:space="0" w:color="auto"/>
        <w:right w:val="none" w:sz="0" w:space="0" w:color="auto"/>
      </w:divBdr>
    </w:div>
    <w:div w:id="17040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abc季报.dot</Template>
  <TotalTime>387</TotalTime>
  <Pages>3</Pages>
  <Words>1067</Words>
  <Characters>6086</Characters>
  <Application>Microsoft Office Word</Application>
  <DocSecurity>0</DocSecurity>
  <Lines>50</Lines>
  <Paragraphs>14</Paragraphs>
  <ScaleCrop>false</ScaleCrop>
  <Company>TRT. Ltd. Co.</Company>
  <LinksUpToDate>false</LinksUpToDate>
  <CharactersWithSpaces>7139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168</cp:revision>
  <cp:lastPrinted>2019-10-16T13:53:00Z</cp:lastPrinted>
  <dcterms:created xsi:type="dcterms:W3CDTF">2013-06-21T06:56:00Z</dcterms:created>
  <dcterms:modified xsi:type="dcterms:W3CDTF">2019-10-16T13:53:00Z</dcterms:modified>
</cp:coreProperties>
</file>