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DB64" w14:textId="77777777" w:rsidR="0023144C" w:rsidRPr="00487553" w:rsidRDefault="0023144C" w:rsidP="00D94E68">
      <w:pPr>
        <w:snapToGrid w:val="0"/>
        <w:spacing w:line="360" w:lineRule="auto"/>
        <w:ind w:firstLine="881"/>
        <w:jc w:val="center"/>
        <w:rPr>
          <w:rFonts w:asciiTheme="minorEastAsia" w:eastAsiaTheme="minorEastAsia" w:hAnsiTheme="minorEastAsia"/>
          <w:b/>
          <w:sz w:val="44"/>
        </w:rPr>
      </w:pPr>
      <w:bookmarkStart w:id="0" w:name="_GoBack"/>
      <w:bookmarkEnd w:id="0"/>
    </w:p>
    <w:p w14:paraId="59C27068" w14:textId="77777777" w:rsidR="0064594E" w:rsidRPr="00487553" w:rsidRDefault="0064594E" w:rsidP="00D94E68">
      <w:pPr>
        <w:snapToGrid w:val="0"/>
        <w:spacing w:line="360" w:lineRule="auto"/>
        <w:ind w:firstLine="881"/>
        <w:jc w:val="center"/>
        <w:rPr>
          <w:rFonts w:asciiTheme="minorEastAsia" w:eastAsiaTheme="minorEastAsia" w:hAnsiTheme="minorEastAsia"/>
          <w:b/>
          <w:sz w:val="44"/>
        </w:rPr>
      </w:pPr>
    </w:p>
    <w:p w14:paraId="135F20F9" w14:textId="77777777" w:rsidR="00D94E68" w:rsidRPr="00487553" w:rsidRDefault="00D94E68" w:rsidP="00D94E68">
      <w:pPr>
        <w:snapToGrid w:val="0"/>
        <w:spacing w:line="360" w:lineRule="auto"/>
        <w:ind w:firstLine="881"/>
        <w:jc w:val="center"/>
        <w:rPr>
          <w:rFonts w:asciiTheme="minorEastAsia" w:eastAsiaTheme="minorEastAsia" w:hAnsiTheme="minorEastAsia"/>
          <w:b/>
          <w:sz w:val="44"/>
        </w:rPr>
      </w:pPr>
    </w:p>
    <w:p w14:paraId="4380A61B" w14:textId="77777777" w:rsidR="00FE4AB7" w:rsidRPr="00487553" w:rsidRDefault="0064594E" w:rsidP="00D94E68">
      <w:pPr>
        <w:snapToGrid w:val="0"/>
        <w:spacing w:line="360" w:lineRule="auto"/>
        <w:jc w:val="center"/>
        <w:rPr>
          <w:rFonts w:asciiTheme="minorEastAsia" w:eastAsiaTheme="minorEastAsia" w:hAnsiTheme="minorEastAsia"/>
          <w:b/>
          <w:sz w:val="44"/>
          <w:szCs w:val="44"/>
        </w:rPr>
      </w:pPr>
      <w:r w:rsidRPr="00487553">
        <w:rPr>
          <w:rFonts w:asciiTheme="minorEastAsia" w:eastAsiaTheme="minorEastAsia" w:hAnsiTheme="minorEastAsia"/>
          <w:b/>
          <w:sz w:val="44"/>
          <w:szCs w:val="44"/>
        </w:rPr>
        <w:t>易方达</w:t>
      </w:r>
      <w:r w:rsidR="00FE4AB7" w:rsidRPr="00487553">
        <w:rPr>
          <w:rFonts w:asciiTheme="minorEastAsia" w:eastAsiaTheme="minorEastAsia" w:hAnsiTheme="minorEastAsia" w:hint="eastAsia"/>
          <w:b/>
          <w:sz w:val="44"/>
          <w:szCs w:val="44"/>
        </w:rPr>
        <w:t>恒生中国企业交易型开放式指数</w:t>
      </w:r>
    </w:p>
    <w:p w14:paraId="397135BF" w14:textId="77777777" w:rsidR="0064594E" w:rsidRPr="00487553" w:rsidRDefault="00FE4AB7" w:rsidP="00D94E68">
      <w:pPr>
        <w:snapToGrid w:val="0"/>
        <w:spacing w:line="360" w:lineRule="auto"/>
        <w:jc w:val="center"/>
        <w:rPr>
          <w:rFonts w:asciiTheme="minorEastAsia" w:eastAsiaTheme="minorEastAsia" w:hAnsiTheme="minorEastAsia"/>
          <w:b/>
          <w:sz w:val="44"/>
          <w:szCs w:val="44"/>
        </w:rPr>
      </w:pPr>
      <w:r w:rsidRPr="00487553">
        <w:rPr>
          <w:rFonts w:asciiTheme="minorEastAsia" w:eastAsiaTheme="minorEastAsia" w:hAnsiTheme="minorEastAsia" w:hint="eastAsia"/>
          <w:b/>
          <w:sz w:val="44"/>
          <w:szCs w:val="44"/>
        </w:rPr>
        <w:t>证券投资基金联接基金</w:t>
      </w:r>
      <w:r w:rsidR="00E70B8C" w:rsidRPr="00487553">
        <w:rPr>
          <w:rFonts w:asciiTheme="minorEastAsia" w:eastAsiaTheme="minorEastAsia" w:hAnsiTheme="minorEastAsia" w:hint="eastAsia"/>
          <w:b/>
          <w:sz w:val="44"/>
          <w:szCs w:val="44"/>
        </w:rPr>
        <w:t>更新的</w:t>
      </w:r>
      <w:r w:rsidR="0064594E" w:rsidRPr="00487553">
        <w:rPr>
          <w:rFonts w:asciiTheme="minorEastAsia" w:eastAsiaTheme="minorEastAsia" w:hAnsiTheme="minorEastAsia"/>
          <w:b/>
          <w:sz w:val="44"/>
          <w:szCs w:val="44"/>
        </w:rPr>
        <w:t>招募说明书</w:t>
      </w:r>
    </w:p>
    <w:p w14:paraId="4727B55B" w14:textId="77777777" w:rsidR="000F4BBC" w:rsidRPr="00487553" w:rsidRDefault="000F4BBC" w:rsidP="00D94E68">
      <w:pPr>
        <w:snapToGrid w:val="0"/>
        <w:spacing w:line="360" w:lineRule="auto"/>
        <w:jc w:val="center"/>
        <w:rPr>
          <w:rFonts w:asciiTheme="minorEastAsia" w:eastAsiaTheme="minorEastAsia" w:hAnsiTheme="minorEastAsia"/>
          <w:b/>
          <w:sz w:val="44"/>
          <w:szCs w:val="44"/>
        </w:rPr>
      </w:pPr>
    </w:p>
    <w:p w14:paraId="59653D26" w14:textId="77777777" w:rsidR="00D94E68" w:rsidRPr="00487553" w:rsidRDefault="00D94E68" w:rsidP="00D94E68">
      <w:pPr>
        <w:snapToGrid w:val="0"/>
        <w:spacing w:line="360" w:lineRule="auto"/>
        <w:jc w:val="center"/>
        <w:rPr>
          <w:rFonts w:asciiTheme="minorEastAsia" w:eastAsiaTheme="minorEastAsia" w:hAnsiTheme="minorEastAsia"/>
          <w:b/>
          <w:sz w:val="44"/>
          <w:szCs w:val="44"/>
        </w:rPr>
      </w:pPr>
    </w:p>
    <w:p w14:paraId="1BE7B386" w14:textId="77777777" w:rsidR="00D94E68" w:rsidRPr="00487553" w:rsidRDefault="00D94E68" w:rsidP="00D94E68">
      <w:pPr>
        <w:snapToGrid w:val="0"/>
        <w:spacing w:line="360" w:lineRule="auto"/>
        <w:jc w:val="center"/>
        <w:rPr>
          <w:rFonts w:asciiTheme="minorEastAsia" w:eastAsiaTheme="minorEastAsia" w:hAnsiTheme="minorEastAsia"/>
          <w:b/>
          <w:sz w:val="44"/>
          <w:szCs w:val="44"/>
        </w:rPr>
      </w:pPr>
    </w:p>
    <w:p w14:paraId="22DED18E" w14:textId="77777777" w:rsidR="00D94E68" w:rsidRPr="00487553" w:rsidRDefault="00D94E68" w:rsidP="00D94E68">
      <w:pPr>
        <w:snapToGrid w:val="0"/>
        <w:spacing w:line="360" w:lineRule="auto"/>
        <w:jc w:val="center"/>
        <w:rPr>
          <w:rFonts w:asciiTheme="minorEastAsia" w:eastAsiaTheme="minorEastAsia" w:hAnsiTheme="minorEastAsia"/>
          <w:b/>
          <w:sz w:val="44"/>
          <w:szCs w:val="44"/>
        </w:rPr>
      </w:pPr>
    </w:p>
    <w:p w14:paraId="5919FF10" w14:textId="77777777" w:rsidR="00D94E68" w:rsidRPr="00487553" w:rsidRDefault="00D94E68" w:rsidP="00D94E68">
      <w:pPr>
        <w:snapToGrid w:val="0"/>
        <w:spacing w:line="360" w:lineRule="auto"/>
        <w:jc w:val="center"/>
        <w:rPr>
          <w:rFonts w:asciiTheme="minorEastAsia" w:eastAsiaTheme="minorEastAsia" w:hAnsiTheme="minorEastAsia"/>
          <w:b/>
          <w:sz w:val="44"/>
          <w:szCs w:val="44"/>
        </w:rPr>
      </w:pPr>
    </w:p>
    <w:p w14:paraId="555AF7C8" w14:textId="77777777" w:rsidR="0064594E" w:rsidRPr="00487553" w:rsidRDefault="0064594E" w:rsidP="00D94E68">
      <w:pPr>
        <w:snapToGrid w:val="0"/>
        <w:spacing w:line="360" w:lineRule="auto"/>
        <w:jc w:val="center"/>
        <w:rPr>
          <w:rFonts w:asciiTheme="minorEastAsia" w:eastAsiaTheme="minorEastAsia" w:hAnsiTheme="minorEastAsia"/>
          <w:sz w:val="44"/>
          <w:szCs w:val="44"/>
        </w:rPr>
      </w:pPr>
    </w:p>
    <w:p w14:paraId="1DE08DDF" w14:textId="77777777" w:rsidR="0064594E" w:rsidRPr="00487553" w:rsidRDefault="0064594E" w:rsidP="00D94E68">
      <w:pPr>
        <w:snapToGrid w:val="0"/>
        <w:spacing w:line="360" w:lineRule="auto"/>
        <w:jc w:val="center"/>
        <w:rPr>
          <w:rFonts w:asciiTheme="minorEastAsia" w:eastAsiaTheme="minorEastAsia" w:hAnsiTheme="minorEastAsia"/>
          <w:sz w:val="44"/>
          <w:szCs w:val="44"/>
        </w:rPr>
      </w:pPr>
    </w:p>
    <w:p w14:paraId="4AAF7229" w14:textId="77777777" w:rsidR="0064594E" w:rsidRPr="00487553" w:rsidRDefault="0064594E" w:rsidP="00D94E68">
      <w:pPr>
        <w:snapToGrid w:val="0"/>
        <w:spacing w:line="360" w:lineRule="auto"/>
        <w:jc w:val="center"/>
        <w:rPr>
          <w:rFonts w:asciiTheme="minorEastAsia" w:eastAsiaTheme="minorEastAsia" w:hAnsiTheme="minorEastAsia"/>
          <w:sz w:val="30"/>
          <w:szCs w:val="30"/>
        </w:rPr>
      </w:pPr>
      <w:r w:rsidRPr="00487553">
        <w:rPr>
          <w:rFonts w:asciiTheme="minorEastAsia" w:eastAsiaTheme="minorEastAsia" w:hAnsiTheme="minorEastAsia"/>
          <w:sz w:val="30"/>
          <w:szCs w:val="30"/>
        </w:rPr>
        <w:t>基金管理人：易方达基金管理有限公司</w:t>
      </w:r>
    </w:p>
    <w:p w14:paraId="47BB7A0B" w14:textId="77777777" w:rsidR="0064594E" w:rsidRPr="00487553" w:rsidRDefault="0064594E" w:rsidP="00D94E68">
      <w:pPr>
        <w:snapToGrid w:val="0"/>
        <w:spacing w:line="360" w:lineRule="auto"/>
        <w:jc w:val="center"/>
        <w:rPr>
          <w:rFonts w:asciiTheme="minorEastAsia" w:eastAsiaTheme="minorEastAsia" w:hAnsiTheme="minorEastAsia"/>
          <w:sz w:val="30"/>
          <w:szCs w:val="30"/>
        </w:rPr>
      </w:pPr>
      <w:r w:rsidRPr="00487553">
        <w:rPr>
          <w:rFonts w:asciiTheme="minorEastAsia" w:eastAsiaTheme="minorEastAsia" w:hAnsiTheme="minorEastAsia"/>
          <w:sz w:val="30"/>
          <w:szCs w:val="30"/>
        </w:rPr>
        <w:t>基金托管人：</w:t>
      </w:r>
      <w:r w:rsidR="00122277" w:rsidRPr="00487553">
        <w:rPr>
          <w:rFonts w:asciiTheme="minorEastAsia" w:eastAsiaTheme="minorEastAsia" w:hAnsiTheme="minorEastAsia"/>
          <w:sz w:val="30"/>
          <w:szCs w:val="30"/>
        </w:rPr>
        <w:t>交通银行</w:t>
      </w:r>
      <w:r w:rsidRPr="00487553">
        <w:rPr>
          <w:rFonts w:asciiTheme="minorEastAsia" w:eastAsiaTheme="minorEastAsia" w:hAnsiTheme="minorEastAsia"/>
          <w:sz w:val="30"/>
          <w:szCs w:val="30"/>
        </w:rPr>
        <w:t>股份有限公司</w:t>
      </w:r>
    </w:p>
    <w:p w14:paraId="7E45C817" w14:textId="77777777" w:rsidR="00D94E68" w:rsidRPr="00487553" w:rsidRDefault="00D94E68" w:rsidP="00D94E68">
      <w:pPr>
        <w:snapToGrid w:val="0"/>
        <w:spacing w:line="360" w:lineRule="auto"/>
        <w:jc w:val="center"/>
        <w:rPr>
          <w:rFonts w:asciiTheme="minorEastAsia" w:eastAsiaTheme="minorEastAsia" w:hAnsiTheme="minorEastAsia"/>
          <w:sz w:val="30"/>
          <w:szCs w:val="30"/>
        </w:rPr>
      </w:pPr>
    </w:p>
    <w:p w14:paraId="24C9F3D8" w14:textId="67564752" w:rsidR="00FA7F22" w:rsidRPr="00487553" w:rsidRDefault="00BF53B1" w:rsidP="00D94E68">
      <w:pPr>
        <w:snapToGrid w:val="0"/>
        <w:spacing w:line="360" w:lineRule="auto"/>
        <w:ind w:firstLine="561"/>
        <w:jc w:val="center"/>
        <w:rPr>
          <w:rFonts w:asciiTheme="minorEastAsia" w:eastAsiaTheme="minorEastAsia" w:hAnsiTheme="minorEastAsia"/>
          <w:b/>
          <w:bCs/>
          <w:sz w:val="28"/>
        </w:rPr>
      </w:pPr>
      <w:r w:rsidRPr="00487553">
        <w:rPr>
          <w:rFonts w:asciiTheme="minorEastAsia" w:eastAsiaTheme="minorEastAsia" w:hAnsiTheme="minorEastAsia" w:hint="eastAsia"/>
          <w:b/>
          <w:bCs/>
          <w:sz w:val="28"/>
        </w:rPr>
        <w:t>二○一九年</w:t>
      </w:r>
      <w:r w:rsidR="007E6850">
        <w:rPr>
          <w:rFonts w:asciiTheme="minorEastAsia" w:eastAsiaTheme="minorEastAsia" w:hAnsiTheme="minorEastAsia" w:hint="eastAsia"/>
          <w:b/>
          <w:bCs/>
          <w:sz w:val="28"/>
        </w:rPr>
        <w:t>九</w:t>
      </w:r>
      <w:r w:rsidRPr="00487553">
        <w:rPr>
          <w:rFonts w:asciiTheme="minorEastAsia" w:eastAsiaTheme="minorEastAsia" w:hAnsiTheme="minorEastAsia" w:hint="eastAsia"/>
          <w:b/>
          <w:bCs/>
          <w:sz w:val="28"/>
        </w:rPr>
        <w:t>月</w:t>
      </w:r>
    </w:p>
    <w:p w14:paraId="5C789852" w14:textId="77777777" w:rsidR="00A6711C" w:rsidRPr="00487553" w:rsidRDefault="00A6711C" w:rsidP="00D94E68">
      <w:pPr>
        <w:snapToGrid w:val="0"/>
        <w:spacing w:line="360" w:lineRule="auto"/>
        <w:ind w:firstLine="561"/>
        <w:jc w:val="center"/>
        <w:rPr>
          <w:rFonts w:asciiTheme="minorEastAsia" w:eastAsiaTheme="minorEastAsia" w:hAnsiTheme="minorEastAsia"/>
          <w:b/>
          <w:bCs/>
          <w:sz w:val="28"/>
        </w:rPr>
      </w:pPr>
    </w:p>
    <w:p w14:paraId="4379861C" w14:textId="77777777" w:rsidR="007E29F9" w:rsidRPr="00487553" w:rsidRDefault="007E29F9" w:rsidP="00D94E68">
      <w:pPr>
        <w:snapToGrid w:val="0"/>
        <w:spacing w:line="360" w:lineRule="auto"/>
        <w:ind w:firstLine="561"/>
        <w:jc w:val="center"/>
        <w:rPr>
          <w:rFonts w:asciiTheme="minorEastAsia" w:eastAsiaTheme="minorEastAsia" w:hAnsiTheme="minorEastAsia"/>
          <w:b/>
          <w:sz w:val="28"/>
          <w:szCs w:val="28"/>
        </w:rPr>
      </w:pPr>
      <w:r w:rsidRPr="00487553">
        <w:rPr>
          <w:rFonts w:asciiTheme="minorEastAsia" w:eastAsiaTheme="minorEastAsia" w:hAnsiTheme="minorEastAsia"/>
          <w:b/>
          <w:sz w:val="28"/>
          <w:szCs w:val="28"/>
        </w:rPr>
        <w:lastRenderedPageBreak/>
        <w:t>重要提示</w:t>
      </w:r>
    </w:p>
    <w:p w14:paraId="281ACA6C" w14:textId="42BA12CC" w:rsidR="007E29F9" w:rsidRPr="00487553" w:rsidRDefault="007E29F9"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t>本基金根据</w:t>
      </w:r>
      <w:r w:rsidR="008B74C9" w:rsidRPr="00487553">
        <w:rPr>
          <w:rFonts w:asciiTheme="minorEastAsia" w:eastAsiaTheme="minorEastAsia" w:hAnsiTheme="minorEastAsia"/>
          <w:szCs w:val="21"/>
        </w:rPr>
        <w:t>201</w:t>
      </w:r>
      <w:r w:rsidR="008B74C9" w:rsidRPr="00487553">
        <w:rPr>
          <w:rFonts w:asciiTheme="minorEastAsia" w:eastAsiaTheme="minorEastAsia" w:hAnsiTheme="minorEastAsia" w:hint="eastAsia"/>
          <w:szCs w:val="21"/>
        </w:rPr>
        <w:t>2</w:t>
      </w:r>
      <w:r w:rsidR="005034A7" w:rsidRPr="00487553">
        <w:rPr>
          <w:rFonts w:asciiTheme="minorEastAsia" w:eastAsiaTheme="minorEastAsia" w:hAnsiTheme="minorEastAsia"/>
          <w:szCs w:val="21"/>
        </w:rPr>
        <w:t>年</w:t>
      </w:r>
      <w:r w:rsidR="008B74C9" w:rsidRPr="00487553">
        <w:rPr>
          <w:rFonts w:asciiTheme="minorEastAsia" w:eastAsiaTheme="minorEastAsia" w:hAnsiTheme="minorEastAsia" w:hint="eastAsia"/>
          <w:szCs w:val="21"/>
        </w:rPr>
        <w:t>6</w:t>
      </w:r>
      <w:r w:rsidRPr="00487553">
        <w:rPr>
          <w:rFonts w:asciiTheme="minorEastAsia" w:eastAsiaTheme="minorEastAsia" w:hAnsiTheme="minorEastAsia"/>
          <w:szCs w:val="21"/>
        </w:rPr>
        <w:t>月</w:t>
      </w:r>
      <w:r w:rsidR="00A563F6" w:rsidRPr="00487553">
        <w:rPr>
          <w:rFonts w:asciiTheme="minorEastAsia" w:eastAsiaTheme="minorEastAsia" w:hAnsiTheme="minorEastAsia" w:hint="eastAsia"/>
          <w:szCs w:val="21"/>
        </w:rPr>
        <w:t>18</w:t>
      </w:r>
      <w:r w:rsidRPr="00487553">
        <w:rPr>
          <w:rFonts w:asciiTheme="minorEastAsia" w:eastAsiaTheme="minorEastAsia" w:hAnsiTheme="minorEastAsia"/>
          <w:szCs w:val="21"/>
        </w:rPr>
        <w:t>日中国证券监督管理委员会《关于核准易方达</w:t>
      </w:r>
      <w:r w:rsidR="0057643B" w:rsidRPr="00487553">
        <w:rPr>
          <w:rFonts w:asciiTheme="minorEastAsia" w:eastAsiaTheme="minorEastAsia" w:hAnsiTheme="minorEastAsia"/>
          <w:szCs w:val="21"/>
        </w:rPr>
        <w:t>恒生中国企业交易型开放式指数证券投资基金</w:t>
      </w:r>
      <w:r w:rsidR="00241D41" w:rsidRPr="00487553">
        <w:rPr>
          <w:rFonts w:asciiTheme="minorEastAsia" w:eastAsiaTheme="minorEastAsia" w:hAnsiTheme="minorEastAsia" w:hint="eastAsia"/>
          <w:szCs w:val="21"/>
        </w:rPr>
        <w:t>及联接基金</w:t>
      </w:r>
      <w:r w:rsidRPr="00487553">
        <w:rPr>
          <w:rFonts w:asciiTheme="minorEastAsia" w:eastAsiaTheme="minorEastAsia" w:hAnsiTheme="minorEastAsia"/>
          <w:szCs w:val="21"/>
        </w:rPr>
        <w:t>募集的批复》（证监许可【</w:t>
      </w:r>
      <w:r w:rsidR="008B74C9" w:rsidRPr="00487553">
        <w:rPr>
          <w:rFonts w:asciiTheme="minorEastAsia" w:eastAsiaTheme="minorEastAsia" w:hAnsiTheme="minorEastAsia"/>
          <w:szCs w:val="21"/>
        </w:rPr>
        <w:t>201</w:t>
      </w:r>
      <w:r w:rsidR="008B74C9"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w:t>
      </w:r>
      <w:r w:rsidR="008B74C9" w:rsidRPr="00487553">
        <w:rPr>
          <w:rFonts w:asciiTheme="minorEastAsia" w:eastAsiaTheme="minorEastAsia" w:hAnsiTheme="minorEastAsia" w:hint="eastAsia"/>
          <w:szCs w:val="21"/>
        </w:rPr>
        <w:t>823</w:t>
      </w:r>
      <w:r w:rsidRPr="00487553">
        <w:rPr>
          <w:rFonts w:asciiTheme="minorEastAsia" w:eastAsiaTheme="minorEastAsia" w:hAnsiTheme="minorEastAsia"/>
          <w:szCs w:val="21"/>
        </w:rPr>
        <w:t>号）和</w:t>
      </w:r>
      <w:r w:rsidR="00F73734" w:rsidRPr="00487553">
        <w:rPr>
          <w:rFonts w:asciiTheme="minorEastAsia" w:eastAsiaTheme="minorEastAsia" w:hAnsiTheme="minorEastAsia"/>
          <w:szCs w:val="21"/>
        </w:rPr>
        <w:t>201</w:t>
      </w:r>
      <w:r w:rsidR="00F73734"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年</w:t>
      </w:r>
      <w:r w:rsidR="008B74C9" w:rsidRPr="00487553">
        <w:rPr>
          <w:rFonts w:asciiTheme="minorEastAsia" w:eastAsiaTheme="minorEastAsia" w:hAnsiTheme="minorEastAsia" w:hint="eastAsia"/>
          <w:szCs w:val="21"/>
        </w:rPr>
        <w:t>6</w:t>
      </w:r>
      <w:r w:rsidRPr="00487553">
        <w:rPr>
          <w:rFonts w:asciiTheme="minorEastAsia" w:eastAsiaTheme="minorEastAsia" w:hAnsiTheme="minorEastAsia"/>
          <w:szCs w:val="21"/>
        </w:rPr>
        <w:t>月</w:t>
      </w:r>
      <w:r w:rsidR="008B74C9" w:rsidRPr="00487553">
        <w:rPr>
          <w:rFonts w:asciiTheme="minorEastAsia" w:eastAsiaTheme="minorEastAsia" w:hAnsiTheme="minorEastAsia" w:hint="eastAsia"/>
          <w:szCs w:val="21"/>
        </w:rPr>
        <w:t>29</w:t>
      </w:r>
      <w:r w:rsidRPr="00487553">
        <w:rPr>
          <w:rFonts w:asciiTheme="minorEastAsia" w:eastAsiaTheme="minorEastAsia" w:hAnsiTheme="minorEastAsia"/>
          <w:szCs w:val="21"/>
        </w:rPr>
        <w:t>日《关于易方达</w:t>
      </w:r>
      <w:r w:rsidR="0057643B" w:rsidRPr="00487553">
        <w:rPr>
          <w:rFonts w:asciiTheme="minorEastAsia" w:eastAsiaTheme="minorEastAsia" w:hAnsiTheme="minorEastAsia"/>
          <w:szCs w:val="21"/>
        </w:rPr>
        <w:t>恒生中国企业交易型开放式指数证券投资基金</w:t>
      </w:r>
      <w:r w:rsidR="00241D41" w:rsidRPr="00487553">
        <w:rPr>
          <w:rFonts w:asciiTheme="minorEastAsia" w:eastAsiaTheme="minorEastAsia" w:hAnsiTheme="minorEastAsia" w:hint="eastAsia"/>
          <w:szCs w:val="21"/>
        </w:rPr>
        <w:t>及其联接基金</w:t>
      </w:r>
      <w:r w:rsidRPr="00487553">
        <w:rPr>
          <w:rFonts w:asciiTheme="minorEastAsia" w:eastAsiaTheme="minorEastAsia" w:hAnsiTheme="minorEastAsia"/>
          <w:szCs w:val="21"/>
        </w:rPr>
        <w:t>募集时间安排的</w:t>
      </w:r>
      <w:r w:rsidR="00111B14" w:rsidRPr="00487553">
        <w:rPr>
          <w:rFonts w:asciiTheme="minorEastAsia" w:eastAsiaTheme="minorEastAsia" w:hAnsiTheme="minorEastAsia" w:hint="eastAsia"/>
          <w:szCs w:val="21"/>
        </w:rPr>
        <w:t>确认</w:t>
      </w:r>
      <w:r w:rsidRPr="00487553">
        <w:rPr>
          <w:rFonts w:asciiTheme="minorEastAsia" w:eastAsiaTheme="minorEastAsia" w:hAnsiTheme="minorEastAsia"/>
          <w:szCs w:val="21"/>
        </w:rPr>
        <w:t>函》（基金部函【</w:t>
      </w:r>
      <w:r w:rsidR="00F73734" w:rsidRPr="00487553">
        <w:rPr>
          <w:rFonts w:asciiTheme="minorEastAsia" w:eastAsiaTheme="minorEastAsia" w:hAnsiTheme="minorEastAsia"/>
          <w:szCs w:val="21"/>
        </w:rPr>
        <w:t>201</w:t>
      </w:r>
      <w:r w:rsidR="00F73734"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w:t>
      </w:r>
      <w:r w:rsidR="008B74C9" w:rsidRPr="00487553">
        <w:rPr>
          <w:rFonts w:asciiTheme="minorEastAsia" w:eastAsiaTheme="minorEastAsia" w:hAnsiTheme="minorEastAsia" w:hint="eastAsia"/>
          <w:szCs w:val="21"/>
        </w:rPr>
        <w:t>548</w:t>
      </w:r>
      <w:r w:rsidRPr="00487553">
        <w:rPr>
          <w:rFonts w:asciiTheme="minorEastAsia" w:eastAsiaTheme="minorEastAsia" w:hAnsiTheme="minorEastAsia"/>
          <w:szCs w:val="21"/>
        </w:rPr>
        <w:t>号）的核准，进行募集。</w:t>
      </w:r>
      <w:r w:rsidR="0092635E" w:rsidRPr="00487553">
        <w:rPr>
          <w:rFonts w:asciiTheme="minorEastAsia" w:eastAsiaTheme="minorEastAsia" w:hAnsiTheme="minorEastAsia" w:hint="eastAsia"/>
          <w:szCs w:val="21"/>
        </w:rPr>
        <w:t>本基金的基金合同于2012年8月21日正式生效。</w:t>
      </w:r>
    </w:p>
    <w:p w14:paraId="26D45A71" w14:textId="77777777" w:rsidR="00111B14" w:rsidRPr="00487553" w:rsidRDefault="007E29F9"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基金管理人保证招募说明书的内容真实、准确、完整。</w:t>
      </w:r>
      <w:r w:rsidR="00111B14" w:rsidRPr="00487553">
        <w:rPr>
          <w:rFonts w:asciiTheme="minorEastAsia" w:eastAsiaTheme="minorEastAsia" w:hAnsiTheme="minorEastAsia"/>
          <w:szCs w:val="21"/>
        </w:rPr>
        <w:t>本招募说明书经中国证监会核准，但中国证监会对本基金募集的核准，并不表明其对本基金的价值和收益作出实质性判断或保证，也不表明投资于本基金没有风险。</w:t>
      </w:r>
    </w:p>
    <w:p w14:paraId="3B9E6649" w14:textId="77777777" w:rsidR="007E29F9" w:rsidRPr="00487553" w:rsidRDefault="007E29F9"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基金管理人依照恪尽职守、诚实信用、谨慎勤勉的原则管理和运用基金财产，但不保证基金一定盈利，也不保证最低收益。</w:t>
      </w:r>
    </w:p>
    <w:p w14:paraId="46C6D211" w14:textId="4E39F91F" w:rsidR="00413F7F" w:rsidRPr="00487553" w:rsidRDefault="00C078A1" w:rsidP="00D94E68">
      <w:pPr>
        <w:snapToGrid w:val="0"/>
        <w:spacing w:line="360" w:lineRule="auto"/>
        <w:ind w:firstLineChars="200" w:firstLine="420"/>
        <w:rPr>
          <w:rFonts w:asciiTheme="minorEastAsia" w:eastAsiaTheme="minorEastAsia" w:hAnsiTheme="minorEastAsia"/>
          <w:sz w:val="28"/>
          <w:szCs w:val="28"/>
        </w:rPr>
      </w:pPr>
      <w:r w:rsidRPr="00487553">
        <w:rPr>
          <w:rFonts w:asciiTheme="minorEastAsia" w:eastAsiaTheme="minorEastAsia" w:hAnsiTheme="minorEastAsia" w:hint="eastAsia"/>
          <w:szCs w:val="21"/>
        </w:rPr>
        <w:t>本基金为易方达恒生中国企业交易型开放式指数证券投资基金（以下简称易方达恒生中国企业ETF）的联接基金，其投资目标是紧密跟踪业绩比较基准，追求跟踪偏离度及跟踪误差的最小化。</w:t>
      </w:r>
      <w:r w:rsidR="00F04627" w:rsidRPr="00487553">
        <w:rPr>
          <w:rFonts w:asciiTheme="minorEastAsia" w:eastAsiaTheme="minorEastAsia" w:hAnsiTheme="minorEastAsia"/>
          <w:szCs w:val="21"/>
        </w:rPr>
        <w:t>本基金</w:t>
      </w:r>
      <w:r w:rsidR="00F04627" w:rsidRPr="00487553">
        <w:rPr>
          <w:rFonts w:asciiTheme="minorEastAsia" w:eastAsiaTheme="minorEastAsia" w:hAnsiTheme="minorEastAsia" w:hint="eastAsia"/>
          <w:szCs w:val="21"/>
        </w:rPr>
        <w:t>资产中投资于</w:t>
      </w:r>
      <w:r w:rsidR="00CE574D" w:rsidRPr="00487553">
        <w:rPr>
          <w:rFonts w:asciiTheme="minorEastAsia" w:eastAsiaTheme="minorEastAsia" w:hAnsiTheme="minorEastAsia" w:hint="eastAsia"/>
          <w:szCs w:val="21"/>
        </w:rPr>
        <w:t>易方达恒生中国企业ETF</w:t>
      </w:r>
      <w:r w:rsidR="00F04627" w:rsidRPr="00487553">
        <w:rPr>
          <w:rFonts w:asciiTheme="minorEastAsia" w:eastAsiaTheme="minorEastAsia" w:hAnsiTheme="minorEastAsia" w:hint="eastAsia"/>
          <w:szCs w:val="21"/>
        </w:rPr>
        <w:t>的</w:t>
      </w:r>
      <w:r w:rsidR="00F04627" w:rsidRPr="00487553">
        <w:rPr>
          <w:rFonts w:asciiTheme="minorEastAsia" w:eastAsiaTheme="minorEastAsia" w:hAnsiTheme="minorEastAsia"/>
          <w:szCs w:val="21"/>
        </w:rPr>
        <w:t>比例不低于基金资产</w:t>
      </w:r>
      <w:r w:rsidR="00F04627" w:rsidRPr="00487553">
        <w:rPr>
          <w:rFonts w:asciiTheme="minorEastAsia" w:eastAsiaTheme="minorEastAsia" w:hAnsiTheme="minorEastAsia" w:hint="eastAsia"/>
          <w:szCs w:val="21"/>
        </w:rPr>
        <w:t>净值</w:t>
      </w:r>
      <w:r w:rsidR="00F04627" w:rsidRPr="00487553">
        <w:rPr>
          <w:rFonts w:asciiTheme="minorEastAsia" w:eastAsiaTheme="minorEastAsia" w:hAnsiTheme="minorEastAsia"/>
          <w:szCs w:val="21"/>
        </w:rPr>
        <w:t>的9</w:t>
      </w:r>
      <w:r w:rsidR="00F04627" w:rsidRPr="00487553">
        <w:rPr>
          <w:rFonts w:asciiTheme="minorEastAsia" w:eastAsiaTheme="minorEastAsia" w:hAnsiTheme="minorEastAsia" w:hint="eastAsia"/>
          <w:szCs w:val="21"/>
        </w:rPr>
        <w:t>0</w:t>
      </w:r>
      <w:r w:rsidR="00F04627" w:rsidRPr="00487553">
        <w:rPr>
          <w:rFonts w:asciiTheme="minorEastAsia" w:eastAsiaTheme="minorEastAsia" w:hAnsiTheme="minorEastAsia"/>
          <w:szCs w:val="21"/>
        </w:rPr>
        <w:t>%</w:t>
      </w:r>
      <w:r w:rsidR="00FD5E04" w:rsidRPr="00487553">
        <w:rPr>
          <w:rFonts w:asciiTheme="minorEastAsia" w:eastAsiaTheme="minorEastAsia" w:hAnsiTheme="minorEastAsia" w:hint="eastAsia"/>
          <w:szCs w:val="21"/>
        </w:rPr>
        <w:t>。本</w:t>
      </w:r>
      <w:r w:rsidR="007E29F9" w:rsidRPr="00487553">
        <w:rPr>
          <w:rFonts w:asciiTheme="minorEastAsia" w:eastAsiaTheme="minorEastAsia" w:hAnsiTheme="minorEastAsia"/>
          <w:szCs w:val="21"/>
        </w:rPr>
        <w:t>基金</w:t>
      </w:r>
      <w:r w:rsidR="009D76E6" w:rsidRPr="00487553">
        <w:rPr>
          <w:rFonts w:asciiTheme="minorEastAsia" w:eastAsiaTheme="minorEastAsia" w:hAnsiTheme="minorEastAsia" w:hint="eastAsia"/>
          <w:szCs w:val="21"/>
        </w:rPr>
        <w:t>投资于证券</w:t>
      </w:r>
      <w:r w:rsidR="00892C7F" w:rsidRPr="00487553">
        <w:rPr>
          <w:rFonts w:asciiTheme="minorEastAsia" w:eastAsiaTheme="minorEastAsia" w:hAnsiTheme="minorEastAsia" w:hint="eastAsia"/>
          <w:szCs w:val="21"/>
        </w:rPr>
        <w:t>期货</w:t>
      </w:r>
      <w:r w:rsidR="009D76E6" w:rsidRPr="00487553">
        <w:rPr>
          <w:rFonts w:asciiTheme="minorEastAsia" w:eastAsiaTheme="minorEastAsia" w:hAnsiTheme="minorEastAsia" w:hint="eastAsia"/>
          <w:szCs w:val="21"/>
        </w:rPr>
        <w:t>市场，基金</w:t>
      </w:r>
      <w:r w:rsidR="007E29F9" w:rsidRPr="00487553">
        <w:rPr>
          <w:rFonts w:asciiTheme="minorEastAsia" w:eastAsiaTheme="minorEastAsia" w:hAnsiTheme="minorEastAsia"/>
          <w:szCs w:val="21"/>
        </w:rPr>
        <w:t>净值会因为证券</w:t>
      </w:r>
      <w:r w:rsidR="00892C7F" w:rsidRPr="00487553">
        <w:rPr>
          <w:rFonts w:asciiTheme="minorEastAsia" w:eastAsiaTheme="minorEastAsia" w:hAnsiTheme="minorEastAsia" w:hint="eastAsia"/>
          <w:szCs w:val="21"/>
        </w:rPr>
        <w:t>期货</w:t>
      </w:r>
      <w:r w:rsidR="007E29F9" w:rsidRPr="00487553">
        <w:rPr>
          <w:rFonts w:asciiTheme="minorEastAsia" w:eastAsiaTheme="minorEastAsia" w:hAnsiTheme="minorEastAsia"/>
          <w:szCs w:val="21"/>
        </w:rPr>
        <w:t>市场波动等因素产生波动，</w:t>
      </w:r>
      <w:r w:rsidR="00462E1C" w:rsidRPr="00487553">
        <w:rPr>
          <w:rFonts w:asciiTheme="minorEastAsia" w:eastAsiaTheme="minorEastAsia" w:hAnsiTheme="minorEastAsia"/>
          <w:szCs w:val="21"/>
        </w:rPr>
        <w:t>投资有风险</w:t>
      </w:r>
      <w:r w:rsidR="00462E1C" w:rsidRPr="00487553">
        <w:rPr>
          <w:rFonts w:asciiTheme="minorEastAsia" w:eastAsiaTheme="minorEastAsia" w:hAnsiTheme="minorEastAsia" w:hint="eastAsia"/>
          <w:szCs w:val="21"/>
        </w:rPr>
        <w:t>，</w:t>
      </w:r>
      <w:r w:rsidR="007E29F9" w:rsidRPr="00487553">
        <w:rPr>
          <w:rFonts w:asciiTheme="minorEastAsia" w:eastAsiaTheme="minorEastAsia" w:hAnsiTheme="minorEastAsia"/>
          <w:szCs w:val="21"/>
        </w:rPr>
        <w:t>投资者在投资本基金前，请认真阅读本招募说明书，全面认识本基金产品的风险收益特征和产品特性，充分考虑自身的风险承受能力，理性判断市场，对认购（或申购）基金的意愿、时机、数量等投资行为作出独立决策，</w:t>
      </w:r>
      <w:r w:rsidR="0019608D" w:rsidRPr="00487553">
        <w:rPr>
          <w:rFonts w:asciiTheme="minorEastAsia" w:eastAsiaTheme="minorEastAsia" w:hAnsiTheme="minorEastAsia"/>
          <w:szCs w:val="21"/>
        </w:rPr>
        <w:t>承担基金投资中</w:t>
      </w:r>
      <w:r w:rsidR="0019608D" w:rsidRPr="00487553">
        <w:rPr>
          <w:rFonts w:asciiTheme="minorEastAsia" w:eastAsiaTheme="minorEastAsia" w:hAnsiTheme="minorEastAsia" w:hint="eastAsia"/>
          <w:szCs w:val="21"/>
        </w:rPr>
        <w:t>可能</w:t>
      </w:r>
      <w:r w:rsidR="0019608D" w:rsidRPr="00487553">
        <w:rPr>
          <w:rFonts w:asciiTheme="minorEastAsia" w:eastAsiaTheme="minorEastAsia" w:hAnsiTheme="minorEastAsia"/>
          <w:szCs w:val="21"/>
        </w:rPr>
        <w:t>出现的各类风险</w:t>
      </w:r>
      <w:r w:rsidR="007E29F9" w:rsidRPr="00487553">
        <w:rPr>
          <w:rFonts w:asciiTheme="minorEastAsia" w:eastAsiaTheme="minorEastAsia" w:hAnsiTheme="minorEastAsia"/>
          <w:szCs w:val="21"/>
        </w:rPr>
        <w:t>。投资本基金可能遇到的主要风险包括：</w:t>
      </w:r>
      <w:r w:rsidR="0019608D" w:rsidRPr="00487553">
        <w:rPr>
          <w:rFonts w:asciiTheme="minorEastAsia" w:eastAsiaTheme="minorEastAsia" w:hAnsiTheme="minorEastAsia" w:hint="eastAsia"/>
          <w:szCs w:val="21"/>
        </w:rPr>
        <w:t>（1）</w:t>
      </w:r>
      <w:r w:rsidR="004B5F05" w:rsidRPr="00487553">
        <w:rPr>
          <w:rFonts w:asciiTheme="minorEastAsia" w:eastAsiaTheme="minorEastAsia" w:hAnsiTheme="minorEastAsia" w:hint="eastAsia"/>
          <w:szCs w:val="21"/>
        </w:rPr>
        <w:t>本基金</w:t>
      </w:r>
      <w:r w:rsidR="004B5F05" w:rsidRPr="00487553">
        <w:rPr>
          <w:rFonts w:asciiTheme="minorEastAsia" w:eastAsiaTheme="minorEastAsia" w:hAnsiTheme="minorEastAsia"/>
          <w:szCs w:val="21"/>
        </w:rPr>
        <w:t>特</w:t>
      </w:r>
      <w:r w:rsidR="004B5F05" w:rsidRPr="00487553">
        <w:rPr>
          <w:rFonts w:asciiTheme="minorEastAsia" w:eastAsiaTheme="minorEastAsia" w:hAnsiTheme="minorEastAsia" w:hint="eastAsia"/>
          <w:szCs w:val="21"/>
        </w:rPr>
        <w:t>有的风险，主要包括</w:t>
      </w:r>
      <w:r w:rsidR="00C41C2C" w:rsidRPr="00487553">
        <w:rPr>
          <w:rFonts w:asciiTheme="minorEastAsia" w:eastAsiaTheme="minorEastAsia" w:hAnsiTheme="minorEastAsia" w:hint="eastAsia"/>
          <w:szCs w:val="21"/>
        </w:rPr>
        <w:t>指数波动的风险</w:t>
      </w:r>
      <w:r w:rsidR="00C41C2C" w:rsidRPr="00487553">
        <w:rPr>
          <w:rFonts w:asciiTheme="minorEastAsia" w:eastAsiaTheme="minorEastAsia" w:hAnsiTheme="minorEastAsia"/>
          <w:szCs w:val="21"/>
        </w:rPr>
        <w:t>、</w:t>
      </w:r>
      <w:r w:rsidR="00C41C2C" w:rsidRPr="00487553">
        <w:rPr>
          <w:rFonts w:asciiTheme="minorEastAsia" w:eastAsiaTheme="minorEastAsia" w:hAnsiTheme="minorEastAsia" w:hint="eastAsia"/>
          <w:szCs w:val="21"/>
        </w:rPr>
        <w:t>指数编制机构发布数据错误的风险、基金收益率与业绩比较基准收益率偏离的风险</w:t>
      </w:r>
      <w:r w:rsidR="000C7AFA" w:rsidRPr="00487553">
        <w:rPr>
          <w:rFonts w:asciiTheme="minorEastAsia" w:eastAsiaTheme="minorEastAsia" w:hAnsiTheme="minorEastAsia" w:hint="eastAsia"/>
          <w:szCs w:val="21"/>
        </w:rPr>
        <w:t>、</w:t>
      </w:r>
      <w:r w:rsidR="00403C67" w:rsidRPr="00487553">
        <w:rPr>
          <w:rFonts w:asciiTheme="minorEastAsia" w:eastAsiaTheme="minorEastAsia" w:hAnsiTheme="minorEastAsia" w:hint="eastAsia"/>
          <w:szCs w:val="21"/>
        </w:rPr>
        <w:t>基金开通</w:t>
      </w:r>
      <w:r w:rsidR="000C7AFA" w:rsidRPr="00487553">
        <w:rPr>
          <w:rFonts w:asciiTheme="minorEastAsia" w:eastAsiaTheme="minorEastAsia" w:hAnsiTheme="minorEastAsia" w:hint="eastAsia"/>
          <w:szCs w:val="21"/>
        </w:rPr>
        <w:t>外币认申赎业务带来的风险</w:t>
      </w:r>
      <w:r w:rsidR="00D476F8" w:rsidRPr="00487553">
        <w:rPr>
          <w:rFonts w:asciiTheme="minorEastAsia" w:eastAsiaTheme="minorEastAsia" w:hAnsiTheme="minorEastAsia" w:hint="eastAsia"/>
          <w:szCs w:val="21"/>
        </w:rPr>
        <w:t>、</w:t>
      </w:r>
      <w:r w:rsidR="00D476F8" w:rsidRPr="00487553">
        <w:rPr>
          <w:rFonts w:asciiTheme="minorEastAsia" w:eastAsiaTheme="minorEastAsia" w:hAnsiTheme="minorEastAsia" w:hint="eastAsia"/>
        </w:rPr>
        <w:t>通过内地与香港股票市场交易互联互通机制投资于香港市场股票的风险</w:t>
      </w:r>
      <w:r w:rsidR="004B5F05" w:rsidRPr="00487553">
        <w:rPr>
          <w:rFonts w:asciiTheme="minorEastAsia" w:eastAsiaTheme="minorEastAsia" w:hAnsiTheme="minorEastAsia"/>
          <w:szCs w:val="21"/>
        </w:rPr>
        <w:t>等；</w:t>
      </w:r>
      <w:r w:rsidR="0019608D" w:rsidRPr="00487553">
        <w:rPr>
          <w:rFonts w:asciiTheme="minorEastAsia" w:eastAsiaTheme="minorEastAsia" w:hAnsiTheme="minorEastAsia" w:hint="eastAsia"/>
          <w:szCs w:val="21"/>
        </w:rPr>
        <w:t>（2）</w:t>
      </w:r>
      <w:r w:rsidR="004B5F05" w:rsidRPr="00487553">
        <w:rPr>
          <w:rFonts w:asciiTheme="minorEastAsia" w:eastAsiaTheme="minorEastAsia" w:hAnsiTheme="minorEastAsia"/>
          <w:szCs w:val="21"/>
        </w:rPr>
        <w:t>投资风险</w:t>
      </w:r>
      <w:r w:rsidR="004B5F05" w:rsidRPr="00487553">
        <w:rPr>
          <w:rFonts w:asciiTheme="minorEastAsia" w:eastAsiaTheme="minorEastAsia" w:hAnsiTheme="minorEastAsia" w:hint="eastAsia"/>
          <w:szCs w:val="21"/>
        </w:rPr>
        <w:t>，</w:t>
      </w:r>
      <w:r w:rsidR="004B5F05" w:rsidRPr="00487553">
        <w:rPr>
          <w:rFonts w:asciiTheme="minorEastAsia" w:eastAsiaTheme="minorEastAsia" w:hAnsiTheme="minorEastAsia"/>
          <w:szCs w:val="21"/>
        </w:rPr>
        <w:t>主要包括市场风险等；</w:t>
      </w:r>
      <w:r w:rsidR="00513A34" w:rsidRPr="00487553">
        <w:rPr>
          <w:rFonts w:asciiTheme="minorEastAsia" w:eastAsiaTheme="minorEastAsia" w:hAnsiTheme="minorEastAsia" w:hint="eastAsia"/>
          <w:szCs w:val="21"/>
        </w:rPr>
        <w:t>（3）流动性风险，主要包括投资标的的流动性风险以及基金管理人综合运用各类流动性风险管理工具可能对投资者带来的风险；（4）</w:t>
      </w:r>
      <w:r w:rsidR="004B5F05" w:rsidRPr="00487553">
        <w:rPr>
          <w:rFonts w:asciiTheme="minorEastAsia" w:eastAsiaTheme="minorEastAsia" w:hAnsiTheme="minorEastAsia"/>
          <w:szCs w:val="21"/>
        </w:rPr>
        <w:t>运作风险</w:t>
      </w:r>
      <w:r w:rsidR="004B5F05" w:rsidRPr="00487553">
        <w:rPr>
          <w:rFonts w:asciiTheme="minorEastAsia" w:eastAsiaTheme="minorEastAsia" w:hAnsiTheme="minorEastAsia" w:hint="eastAsia"/>
          <w:szCs w:val="21"/>
        </w:rPr>
        <w:t>，</w:t>
      </w:r>
      <w:r w:rsidR="004B5F05" w:rsidRPr="00487553">
        <w:rPr>
          <w:rFonts w:asciiTheme="minorEastAsia" w:eastAsiaTheme="minorEastAsia" w:hAnsiTheme="minorEastAsia"/>
          <w:szCs w:val="21"/>
        </w:rPr>
        <w:t>主要包括操作风险等；</w:t>
      </w:r>
      <w:r w:rsidR="0019608D" w:rsidRPr="00487553">
        <w:rPr>
          <w:rFonts w:asciiTheme="minorEastAsia" w:eastAsiaTheme="minorEastAsia" w:hAnsiTheme="minorEastAsia" w:hint="eastAsia"/>
          <w:szCs w:val="21"/>
        </w:rPr>
        <w:t>（</w:t>
      </w:r>
      <w:r w:rsidR="00513A34" w:rsidRPr="00487553">
        <w:rPr>
          <w:rFonts w:asciiTheme="minorEastAsia" w:eastAsiaTheme="minorEastAsia" w:hAnsiTheme="minorEastAsia" w:hint="eastAsia"/>
          <w:szCs w:val="21"/>
        </w:rPr>
        <w:t>5</w:t>
      </w:r>
      <w:r w:rsidR="0019608D" w:rsidRPr="00487553">
        <w:rPr>
          <w:rFonts w:asciiTheme="minorEastAsia" w:eastAsiaTheme="minorEastAsia" w:hAnsiTheme="minorEastAsia" w:hint="eastAsia"/>
          <w:szCs w:val="21"/>
        </w:rPr>
        <w:t>）不可抗力风险</w:t>
      </w:r>
      <w:r w:rsidR="004B5F05" w:rsidRPr="00487553">
        <w:rPr>
          <w:rFonts w:asciiTheme="minorEastAsia" w:eastAsiaTheme="minorEastAsia" w:hAnsiTheme="minorEastAsia" w:hint="eastAsia"/>
          <w:szCs w:val="21"/>
        </w:rPr>
        <w:t>；</w:t>
      </w:r>
      <w:r w:rsidR="007E29F9" w:rsidRPr="00487553">
        <w:rPr>
          <w:rFonts w:asciiTheme="minorEastAsia" w:eastAsiaTheme="minorEastAsia" w:hAnsiTheme="minorEastAsia"/>
          <w:szCs w:val="21"/>
        </w:rPr>
        <w:t>等等。</w:t>
      </w:r>
      <w:r w:rsidR="005543E7" w:rsidRPr="00487553">
        <w:rPr>
          <w:rFonts w:asciiTheme="minorEastAsia" w:eastAsiaTheme="minorEastAsia" w:hAnsiTheme="minorEastAsia"/>
          <w:szCs w:val="21"/>
        </w:rPr>
        <w:t>如果</w:t>
      </w:r>
      <w:r w:rsidR="005543E7" w:rsidRPr="00487553">
        <w:rPr>
          <w:rFonts w:asciiTheme="minorEastAsia" w:eastAsiaTheme="minorEastAsia" w:hAnsiTheme="minorEastAsia" w:hint="eastAsia"/>
          <w:szCs w:val="21"/>
        </w:rPr>
        <w:t>境外</w:t>
      </w:r>
      <w:r w:rsidR="005543E7" w:rsidRPr="00487553">
        <w:rPr>
          <w:rFonts w:asciiTheme="minorEastAsia" w:eastAsiaTheme="minorEastAsia" w:hAnsiTheme="minorEastAsia"/>
          <w:szCs w:val="21"/>
        </w:rPr>
        <w:t>投资市场的货币相对于人民币贬值，将对基金收益产生不利影响；此外，外币对人民币的汇率大幅波动</w:t>
      </w:r>
      <w:r w:rsidR="005543E7" w:rsidRPr="00487553">
        <w:rPr>
          <w:rFonts w:asciiTheme="minorEastAsia" w:eastAsiaTheme="minorEastAsia" w:hAnsiTheme="minorEastAsia" w:hint="eastAsia"/>
          <w:szCs w:val="21"/>
        </w:rPr>
        <w:t>也可能</w:t>
      </w:r>
      <w:r w:rsidR="005543E7" w:rsidRPr="00487553">
        <w:rPr>
          <w:rFonts w:asciiTheme="minorEastAsia" w:eastAsiaTheme="minorEastAsia" w:hAnsiTheme="minorEastAsia"/>
          <w:szCs w:val="21"/>
        </w:rPr>
        <w:t>加大</w:t>
      </w:r>
      <w:r w:rsidR="005543E7" w:rsidRPr="00487553">
        <w:rPr>
          <w:rFonts w:asciiTheme="minorEastAsia" w:eastAsiaTheme="minorEastAsia" w:hAnsiTheme="minorEastAsia" w:hint="eastAsia"/>
          <w:szCs w:val="21"/>
        </w:rPr>
        <w:t>人民币份额</w:t>
      </w:r>
      <w:r w:rsidR="005543E7" w:rsidRPr="00487553">
        <w:rPr>
          <w:rFonts w:asciiTheme="minorEastAsia" w:eastAsiaTheme="minorEastAsia" w:hAnsiTheme="minorEastAsia"/>
          <w:szCs w:val="21"/>
        </w:rPr>
        <w:t>基金净值波动的幅度</w:t>
      </w:r>
      <w:r w:rsidR="00A13A31" w:rsidRPr="00487553">
        <w:rPr>
          <w:rFonts w:asciiTheme="minorEastAsia" w:eastAsiaTheme="minorEastAsia" w:hAnsiTheme="minorEastAsia" w:hint="eastAsia"/>
          <w:szCs w:val="21"/>
        </w:rPr>
        <w:t>；</w:t>
      </w:r>
      <w:r w:rsidR="005543E7" w:rsidRPr="00487553">
        <w:rPr>
          <w:rFonts w:asciiTheme="minorEastAsia" w:eastAsiaTheme="minorEastAsia" w:hAnsiTheme="minorEastAsia" w:hint="eastAsia"/>
          <w:szCs w:val="21"/>
        </w:rPr>
        <w:t>由于本基金外币份额的净值计算与汇率挂钩，</w:t>
      </w:r>
      <w:r w:rsidR="005543E7" w:rsidRPr="00487553">
        <w:rPr>
          <w:rFonts w:asciiTheme="minorEastAsia" w:eastAsiaTheme="minorEastAsia" w:hAnsiTheme="minorEastAsia"/>
          <w:szCs w:val="21"/>
        </w:rPr>
        <w:t>外币对人民币的汇率大幅波动也</w:t>
      </w:r>
      <w:r w:rsidR="005543E7" w:rsidRPr="00487553">
        <w:rPr>
          <w:rFonts w:asciiTheme="minorEastAsia" w:eastAsiaTheme="minorEastAsia" w:hAnsiTheme="minorEastAsia" w:hint="eastAsia"/>
          <w:szCs w:val="21"/>
        </w:rPr>
        <w:t>可能</w:t>
      </w:r>
      <w:r w:rsidR="005543E7" w:rsidRPr="00487553">
        <w:rPr>
          <w:rFonts w:asciiTheme="minorEastAsia" w:eastAsiaTheme="minorEastAsia" w:hAnsiTheme="minorEastAsia"/>
          <w:szCs w:val="21"/>
        </w:rPr>
        <w:t>加大</w:t>
      </w:r>
      <w:r w:rsidR="005543E7" w:rsidRPr="00487553">
        <w:rPr>
          <w:rFonts w:asciiTheme="minorEastAsia" w:eastAsiaTheme="minorEastAsia" w:hAnsiTheme="minorEastAsia" w:hint="eastAsia"/>
          <w:szCs w:val="21"/>
        </w:rPr>
        <w:t>外币份额净值</w:t>
      </w:r>
      <w:r w:rsidR="005543E7" w:rsidRPr="00487553">
        <w:rPr>
          <w:rFonts w:asciiTheme="minorEastAsia" w:eastAsiaTheme="minorEastAsia" w:hAnsiTheme="minorEastAsia"/>
          <w:szCs w:val="21"/>
        </w:rPr>
        <w:t>波动的幅度。</w:t>
      </w:r>
      <w:r w:rsidR="00850F09" w:rsidRPr="00487553">
        <w:rPr>
          <w:rFonts w:asciiTheme="minorEastAsia" w:eastAsiaTheme="minorEastAsia" w:hAnsiTheme="minorEastAsia" w:hint="eastAsia"/>
          <w:szCs w:val="21"/>
        </w:rPr>
        <w:t>本基金</w:t>
      </w:r>
      <w:r w:rsidR="00850F09" w:rsidRPr="00487553">
        <w:rPr>
          <w:rFonts w:asciiTheme="minorEastAsia" w:eastAsiaTheme="minorEastAsia" w:hAnsiTheme="minorEastAsia"/>
          <w:szCs w:val="21"/>
        </w:rPr>
        <w:t>是</w:t>
      </w:r>
      <w:r w:rsidR="00850F09" w:rsidRPr="00487553">
        <w:rPr>
          <w:rFonts w:asciiTheme="minorEastAsia" w:eastAsiaTheme="minorEastAsia" w:hAnsiTheme="minorEastAsia" w:hint="eastAsia"/>
          <w:szCs w:val="21"/>
        </w:rPr>
        <w:t>ETF联接</w:t>
      </w:r>
      <w:r w:rsidR="00850F09" w:rsidRPr="00487553">
        <w:rPr>
          <w:rFonts w:asciiTheme="minorEastAsia" w:eastAsiaTheme="minorEastAsia" w:hAnsiTheme="minorEastAsia"/>
          <w:szCs w:val="21"/>
        </w:rPr>
        <w:t>基金，</w:t>
      </w:r>
      <w:r w:rsidR="00850F09" w:rsidRPr="00487553">
        <w:rPr>
          <w:rFonts w:asciiTheme="minorEastAsia" w:eastAsiaTheme="minorEastAsia" w:hAnsiTheme="minorEastAsia" w:hint="eastAsia"/>
          <w:szCs w:val="21"/>
        </w:rPr>
        <w:t>理论上其</w:t>
      </w:r>
      <w:r w:rsidR="00850F09" w:rsidRPr="00487553">
        <w:rPr>
          <w:rFonts w:asciiTheme="minorEastAsia" w:eastAsiaTheme="minorEastAsia" w:hAnsiTheme="minorEastAsia"/>
          <w:szCs w:val="21"/>
        </w:rPr>
        <w:t>风险</w:t>
      </w:r>
      <w:r w:rsidR="00850F09" w:rsidRPr="00487553">
        <w:rPr>
          <w:rFonts w:asciiTheme="minorEastAsia" w:eastAsiaTheme="minorEastAsia" w:hAnsiTheme="minorEastAsia" w:hint="eastAsia"/>
          <w:szCs w:val="21"/>
        </w:rPr>
        <w:t>收益水平高于混合型基金、债</w:t>
      </w:r>
      <w:r w:rsidR="00850F09" w:rsidRPr="00487553">
        <w:rPr>
          <w:rFonts w:asciiTheme="minorEastAsia" w:eastAsiaTheme="minorEastAsia" w:hAnsiTheme="minorEastAsia"/>
          <w:szCs w:val="21"/>
        </w:rPr>
        <w:t>券基金</w:t>
      </w:r>
      <w:r w:rsidR="00850F09" w:rsidRPr="00487553">
        <w:rPr>
          <w:rFonts w:asciiTheme="minorEastAsia" w:eastAsiaTheme="minorEastAsia" w:hAnsiTheme="minorEastAsia" w:hint="eastAsia"/>
          <w:szCs w:val="21"/>
        </w:rPr>
        <w:t>和</w:t>
      </w:r>
      <w:r w:rsidR="00850F09" w:rsidRPr="00487553">
        <w:rPr>
          <w:rFonts w:asciiTheme="minorEastAsia" w:eastAsiaTheme="minorEastAsia" w:hAnsiTheme="minorEastAsia"/>
          <w:szCs w:val="21"/>
        </w:rPr>
        <w:t>货币市场基金。</w:t>
      </w:r>
    </w:p>
    <w:p w14:paraId="54759DF5" w14:textId="77777777" w:rsidR="007E29F9" w:rsidRPr="00487553" w:rsidRDefault="007E29F9" w:rsidP="00D94E68">
      <w:pPr>
        <w:snapToGrid w:val="0"/>
        <w:spacing w:line="360" w:lineRule="auto"/>
        <w:ind w:firstLineChars="200" w:firstLine="420"/>
        <w:rPr>
          <w:rFonts w:asciiTheme="minorEastAsia" w:eastAsiaTheme="minorEastAsia" w:hAnsiTheme="minorEastAsia"/>
          <w:sz w:val="24"/>
        </w:rPr>
      </w:pPr>
      <w:r w:rsidRPr="00487553">
        <w:rPr>
          <w:rFonts w:asciiTheme="minorEastAsia" w:eastAsiaTheme="minorEastAsia" w:hAnsiTheme="minorEastAsia"/>
          <w:szCs w:val="21"/>
        </w:rPr>
        <w:t>基金管理人提醒投资者基金投资的</w:t>
      </w:r>
      <w:r w:rsidR="00B00442"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买者自负</w:t>
      </w:r>
      <w:r w:rsidR="00B00442"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原则，在投资者作出投资决策后，基金运营状况与基金净值变化引致的投资风险，由投资者自行负责。</w:t>
      </w:r>
    </w:p>
    <w:p w14:paraId="3F399A4B" w14:textId="77777777" w:rsidR="007E29F9" w:rsidRPr="00487553" w:rsidRDefault="007E29F9"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t>本基金由易方达基金管理有限公司独立管理，未聘请境外投资顾问。</w:t>
      </w:r>
    </w:p>
    <w:p w14:paraId="1FE1045E" w14:textId="77777777" w:rsidR="0064594E" w:rsidRPr="00487553" w:rsidRDefault="007E29F9"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lastRenderedPageBreak/>
        <w:t>基金的过往业绩并不预示其未来表现。</w:t>
      </w:r>
    </w:p>
    <w:p w14:paraId="16714AD0" w14:textId="77777777" w:rsidR="009209B4" w:rsidRPr="00487553" w:rsidRDefault="009209B4"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t>在</w:t>
      </w:r>
      <w:r w:rsidRPr="00487553">
        <w:rPr>
          <w:rFonts w:asciiTheme="minorEastAsia" w:eastAsiaTheme="minorEastAsia" w:hAnsiTheme="minorEastAsia" w:hint="eastAsia"/>
          <w:szCs w:val="21"/>
        </w:rPr>
        <w:t>本基金目标ETF-易方达恒生中国企业交易型开放式指数证券投资基金未能符合基金备案条件时，本基金将不能设立，面临募集失败的风险。</w:t>
      </w:r>
    </w:p>
    <w:p w14:paraId="134FDE0A" w14:textId="77777777" w:rsidR="006D6818" w:rsidRPr="00487553" w:rsidRDefault="006D6818"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hint="eastAsia"/>
          <w:szCs w:val="21"/>
        </w:rPr>
        <w:t>在本基金存续期间，基金管理人</w:t>
      </w:r>
      <w:r w:rsidR="0046019B" w:rsidRPr="00487553">
        <w:rPr>
          <w:rFonts w:asciiTheme="minorEastAsia" w:eastAsiaTheme="minorEastAsia" w:hAnsiTheme="minorEastAsia" w:hint="eastAsia"/>
          <w:szCs w:val="21"/>
        </w:rPr>
        <w:t>和基金托管人</w:t>
      </w:r>
      <w:r w:rsidRPr="00487553">
        <w:rPr>
          <w:rFonts w:asciiTheme="minorEastAsia" w:eastAsiaTheme="minorEastAsia" w:hAnsiTheme="minorEastAsia" w:hint="eastAsia"/>
          <w:szCs w:val="21"/>
        </w:rPr>
        <w:t>不承担汇率变动风险。</w:t>
      </w:r>
    </w:p>
    <w:p w14:paraId="7A05DC41" w14:textId="77777777" w:rsidR="00360BA0" w:rsidRPr="00487553" w:rsidRDefault="009209B4"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hint="eastAsia"/>
          <w:szCs w:val="21"/>
        </w:rPr>
        <w:t>本基金与目标ETF的联系与区别</w:t>
      </w:r>
      <w:r w:rsidR="00950C1A" w:rsidRPr="00487553">
        <w:rPr>
          <w:rFonts w:asciiTheme="minorEastAsia" w:eastAsiaTheme="minorEastAsia" w:hAnsiTheme="minorEastAsia" w:hint="eastAsia"/>
          <w:szCs w:val="21"/>
        </w:rPr>
        <w:t>：</w:t>
      </w:r>
    </w:p>
    <w:p w14:paraId="4DDF9369" w14:textId="77777777" w:rsidR="009209B4" w:rsidRPr="00487553" w:rsidRDefault="009209B4"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hint="eastAsia"/>
          <w:szCs w:val="21"/>
        </w:rPr>
        <w:t>本基金为</w:t>
      </w:r>
      <w:r w:rsidR="00717026" w:rsidRPr="00487553">
        <w:rPr>
          <w:rFonts w:asciiTheme="minorEastAsia" w:eastAsiaTheme="minorEastAsia" w:hAnsiTheme="minorEastAsia" w:hint="eastAsia"/>
          <w:szCs w:val="21"/>
        </w:rPr>
        <w:t>易方达</w:t>
      </w:r>
      <w:r w:rsidR="00223123" w:rsidRPr="00487553">
        <w:rPr>
          <w:rFonts w:asciiTheme="minorEastAsia" w:eastAsiaTheme="minorEastAsia" w:hAnsiTheme="minorEastAsia" w:hint="eastAsia"/>
          <w:szCs w:val="21"/>
        </w:rPr>
        <w:t>恒生中国企业ETF</w:t>
      </w:r>
      <w:r w:rsidRPr="00487553">
        <w:rPr>
          <w:rFonts w:asciiTheme="minorEastAsia" w:eastAsiaTheme="minorEastAsia" w:hAnsiTheme="minorEastAsia" w:hint="eastAsia"/>
          <w:szCs w:val="21"/>
        </w:rPr>
        <w:t>的联接基金，二者既有联系也有区别：（1）在基金的投资方法方面，</w:t>
      </w:r>
      <w:r w:rsidR="005510AF" w:rsidRPr="00487553">
        <w:rPr>
          <w:rFonts w:asciiTheme="minorEastAsia" w:eastAsiaTheme="minorEastAsia" w:hAnsiTheme="minorEastAsia" w:hint="eastAsia"/>
          <w:szCs w:val="21"/>
        </w:rPr>
        <w:t>易方达</w:t>
      </w:r>
      <w:r w:rsidRPr="00487553">
        <w:rPr>
          <w:rFonts w:asciiTheme="minorEastAsia" w:eastAsiaTheme="minorEastAsia" w:hAnsiTheme="minorEastAsia" w:hint="eastAsia"/>
          <w:szCs w:val="21"/>
        </w:rPr>
        <w:t>恒生中国企业ETF</w:t>
      </w:r>
      <w:r w:rsidRPr="00487553">
        <w:rPr>
          <w:rFonts w:asciiTheme="minorEastAsia" w:eastAsiaTheme="minorEastAsia" w:hAnsiTheme="minorEastAsia"/>
          <w:szCs w:val="21"/>
        </w:rPr>
        <w:t>主要采取完全复制法</w:t>
      </w:r>
      <w:r w:rsidRPr="00487553">
        <w:rPr>
          <w:rFonts w:asciiTheme="minorEastAsia" w:eastAsiaTheme="minorEastAsia" w:hAnsiTheme="minorEastAsia" w:hint="eastAsia"/>
          <w:szCs w:val="21"/>
        </w:rPr>
        <w:t>，直接投资于标的指数的成份股；而本基金则采取间接的方法，通过将绝大部分基金财产投资于</w:t>
      </w:r>
      <w:r w:rsidR="005510AF" w:rsidRPr="00487553">
        <w:rPr>
          <w:rFonts w:asciiTheme="minorEastAsia" w:eastAsiaTheme="minorEastAsia" w:hAnsiTheme="minorEastAsia" w:hint="eastAsia"/>
          <w:szCs w:val="21"/>
        </w:rPr>
        <w:t>易方达</w:t>
      </w:r>
      <w:r w:rsidRPr="00487553">
        <w:rPr>
          <w:rFonts w:asciiTheme="minorEastAsia" w:eastAsiaTheme="minorEastAsia" w:hAnsiTheme="minorEastAsia" w:hint="eastAsia"/>
          <w:szCs w:val="21"/>
        </w:rPr>
        <w:t>恒生中国企业ETF，实现对业绩比较基准的紧密跟踪。（2）在交易方式方面，投资者既可以像购买股票一样在交易所购买</w:t>
      </w:r>
      <w:r w:rsidR="005510AF" w:rsidRPr="00487553">
        <w:rPr>
          <w:rFonts w:asciiTheme="minorEastAsia" w:eastAsiaTheme="minorEastAsia" w:hAnsiTheme="minorEastAsia" w:hint="eastAsia"/>
          <w:szCs w:val="21"/>
        </w:rPr>
        <w:t>易方达</w:t>
      </w:r>
      <w:r w:rsidRPr="00487553">
        <w:rPr>
          <w:rFonts w:asciiTheme="minorEastAsia" w:eastAsiaTheme="minorEastAsia" w:hAnsiTheme="minorEastAsia" w:hint="eastAsia"/>
          <w:szCs w:val="21"/>
        </w:rPr>
        <w:t>恒生中国企业ETF，也可以按照最小申购、赎回单位和申购、赎回清单的要求，申赎</w:t>
      </w:r>
      <w:r w:rsidR="005510AF" w:rsidRPr="00487553">
        <w:rPr>
          <w:rFonts w:asciiTheme="minorEastAsia" w:eastAsiaTheme="minorEastAsia" w:hAnsiTheme="minorEastAsia" w:hint="eastAsia"/>
          <w:szCs w:val="21"/>
        </w:rPr>
        <w:t>易方达</w:t>
      </w:r>
      <w:r w:rsidRPr="00487553">
        <w:rPr>
          <w:rFonts w:asciiTheme="minorEastAsia" w:eastAsiaTheme="minorEastAsia" w:hAnsiTheme="minorEastAsia" w:hint="eastAsia"/>
          <w:szCs w:val="21"/>
        </w:rPr>
        <w:t>恒生中国企业ETF；而本基金则像普通的开放式基金一样，投资者可以通过基金管理人及</w:t>
      </w:r>
      <w:r w:rsidR="00250825" w:rsidRPr="00487553">
        <w:rPr>
          <w:rFonts w:asciiTheme="minorEastAsia" w:eastAsiaTheme="minorEastAsia" w:hAnsiTheme="minorEastAsia" w:hint="eastAsia"/>
          <w:szCs w:val="21"/>
        </w:rPr>
        <w:t>销售</w:t>
      </w:r>
      <w:r w:rsidRPr="00487553">
        <w:rPr>
          <w:rFonts w:asciiTheme="minorEastAsia" w:eastAsiaTheme="minorEastAsia" w:hAnsiTheme="minorEastAsia" w:hint="eastAsia"/>
          <w:szCs w:val="21"/>
        </w:rPr>
        <w:t>机构按未知价法进行基金的申购与赎回。</w:t>
      </w:r>
    </w:p>
    <w:p w14:paraId="15270F45" w14:textId="77777777" w:rsidR="009209B4" w:rsidRPr="00487553" w:rsidRDefault="00361640"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hint="eastAsia"/>
          <w:szCs w:val="21"/>
        </w:rPr>
        <w:t>虽然本基金为易方达恒生中国企业ETF的联接基金，但</w:t>
      </w:r>
      <w:r w:rsidR="009209B4" w:rsidRPr="00487553">
        <w:rPr>
          <w:rFonts w:asciiTheme="minorEastAsia" w:eastAsiaTheme="minorEastAsia" w:hAnsiTheme="minorEastAsia" w:hint="eastAsia"/>
          <w:szCs w:val="21"/>
        </w:rPr>
        <w:t>本基金与</w:t>
      </w:r>
      <w:r w:rsidR="002015BC" w:rsidRPr="00487553">
        <w:rPr>
          <w:rFonts w:asciiTheme="minorEastAsia" w:eastAsiaTheme="minorEastAsia" w:hAnsiTheme="minorEastAsia" w:hint="eastAsia"/>
          <w:szCs w:val="21"/>
        </w:rPr>
        <w:t>易方达</w:t>
      </w:r>
      <w:r w:rsidR="009209B4" w:rsidRPr="00487553">
        <w:rPr>
          <w:rFonts w:asciiTheme="minorEastAsia" w:eastAsiaTheme="minorEastAsia" w:hAnsiTheme="minorEastAsia" w:hint="eastAsia"/>
          <w:szCs w:val="21"/>
        </w:rPr>
        <w:t>恒生中国企业ETF业绩表现</w:t>
      </w:r>
      <w:r w:rsidR="00BB6C05" w:rsidRPr="00487553">
        <w:rPr>
          <w:rFonts w:asciiTheme="minorEastAsia" w:eastAsiaTheme="minorEastAsia" w:hAnsiTheme="minorEastAsia" w:hint="eastAsia"/>
          <w:szCs w:val="21"/>
        </w:rPr>
        <w:t>仍</w:t>
      </w:r>
      <w:r w:rsidR="009209B4" w:rsidRPr="00487553">
        <w:rPr>
          <w:rFonts w:asciiTheme="minorEastAsia" w:eastAsiaTheme="minorEastAsia" w:hAnsiTheme="minorEastAsia" w:hint="eastAsia"/>
          <w:szCs w:val="21"/>
        </w:rPr>
        <w:t>可能出现差异。可能引发差异的因素主要包括：（1）法规对投资比例的要求。</w:t>
      </w:r>
      <w:r w:rsidR="002015BC" w:rsidRPr="00487553">
        <w:rPr>
          <w:rFonts w:asciiTheme="minorEastAsia" w:eastAsiaTheme="minorEastAsia" w:hAnsiTheme="minorEastAsia" w:hint="eastAsia"/>
          <w:szCs w:val="21"/>
        </w:rPr>
        <w:t>易方达</w:t>
      </w:r>
      <w:r w:rsidR="009209B4" w:rsidRPr="00487553">
        <w:rPr>
          <w:rFonts w:asciiTheme="minorEastAsia" w:eastAsiaTheme="minorEastAsia" w:hAnsiTheme="minorEastAsia" w:hint="eastAsia"/>
          <w:szCs w:val="21"/>
        </w:rPr>
        <w:t>恒生中国企业ETF作为一种特殊的基金品种，可</w:t>
      </w:r>
      <w:r w:rsidR="009209B4" w:rsidRPr="00487553">
        <w:rPr>
          <w:rFonts w:asciiTheme="minorEastAsia" w:eastAsiaTheme="minorEastAsia" w:hAnsiTheme="minorEastAsia"/>
          <w:szCs w:val="21"/>
        </w:rPr>
        <w:t>将全部或接近全部的基金资产</w:t>
      </w:r>
      <w:r w:rsidR="009209B4" w:rsidRPr="00487553">
        <w:rPr>
          <w:rFonts w:asciiTheme="minorEastAsia" w:eastAsiaTheme="minorEastAsia" w:hAnsiTheme="minorEastAsia" w:hint="eastAsia"/>
          <w:szCs w:val="21"/>
        </w:rPr>
        <w:t>，</w:t>
      </w:r>
      <w:r w:rsidR="009209B4" w:rsidRPr="00487553">
        <w:rPr>
          <w:rFonts w:asciiTheme="minorEastAsia" w:eastAsiaTheme="minorEastAsia" w:hAnsiTheme="minorEastAsia"/>
          <w:szCs w:val="21"/>
        </w:rPr>
        <w:t>用于跟踪标的指数的表现</w:t>
      </w:r>
      <w:r w:rsidR="009209B4" w:rsidRPr="00487553">
        <w:rPr>
          <w:rFonts w:asciiTheme="minorEastAsia" w:eastAsiaTheme="minorEastAsia" w:hAnsiTheme="minorEastAsia" w:hint="eastAsia"/>
          <w:szCs w:val="21"/>
        </w:rPr>
        <w:t>；而本基金作为普通的开放式基金，仍需将不低于基金资产净值5%的资产投资于</w:t>
      </w:r>
      <w:r w:rsidR="009209B4" w:rsidRPr="00487553">
        <w:rPr>
          <w:rFonts w:asciiTheme="minorEastAsia" w:eastAsiaTheme="minorEastAsia" w:hAnsiTheme="minorEastAsia"/>
          <w:szCs w:val="21"/>
        </w:rPr>
        <w:t>现金或者到期日在一年以内的政府债券</w:t>
      </w:r>
      <w:r w:rsidR="009209B4" w:rsidRPr="00487553">
        <w:rPr>
          <w:rFonts w:asciiTheme="minorEastAsia" w:eastAsiaTheme="minorEastAsia" w:hAnsiTheme="minorEastAsia" w:hint="eastAsia"/>
          <w:szCs w:val="21"/>
        </w:rPr>
        <w:t>。（2）申购赎回的影响。</w:t>
      </w:r>
      <w:r w:rsidR="002015BC" w:rsidRPr="00487553">
        <w:rPr>
          <w:rFonts w:asciiTheme="minorEastAsia" w:eastAsiaTheme="minorEastAsia" w:hAnsiTheme="minorEastAsia" w:hint="eastAsia"/>
          <w:szCs w:val="21"/>
        </w:rPr>
        <w:t>易方达</w:t>
      </w:r>
      <w:r w:rsidR="009209B4" w:rsidRPr="00487553">
        <w:rPr>
          <w:rFonts w:asciiTheme="minorEastAsia" w:eastAsiaTheme="minorEastAsia" w:hAnsiTheme="minorEastAsia" w:hint="eastAsia"/>
          <w:szCs w:val="21"/>
        </w:rPr>
        <w:t>恒生中国企业ETF采取按照最小申购、赎回单位和申购、赎回清单要求进行申赎的方式，申购赎回对基金净值影响较小；而本基金采取按照未知价法进行申赎的方式，大额申赎可能会对基金资产净值产生一定冲击。</w:t>
      </w:r>
    </w:p>
    <w:p w14:paraId="168181AB" w14:textId="49054F11" w:rsidR="00B0324F" w:rsidRPr="00487553" w:rsidRDefault="0092635E"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hint="eastAsia"/>
          <w:szCs w:val="21"/>
        </w:rPr>
        <w:t>本招募</w:t>
      </w:r>
      <w:r w:rsidRPr="00487553">
        <w:rPr>
          <w:rFonts w:asciiTheme="minorEastAsia" w:eastAsiaTheme="minorEastAsia" w:hAnsiTheme="minorEastAsia"/>
          <w:szCs w:val="21"/>
        </w:rPr>
        <w:t>说明书</w:t>
      </w:r>
      <w:r w:rsidRPr="00487553">
        <w:rPr>
          <w:rFonts w:asciiTheme="minorEastAsia" w:eastAsiaTheme="minorEastAsia" w:hAnsiTheme="minorEastAsia" w:hint="eastAsia"/>
          <w:szCs w:val="21"/>
        </w:rPr>
        <w:t>已经本基金托管人复核。除非另有说明，本招募说明书</w:t>
      </w:r>
      <w:r w:rsidR="00BF53B1" w:rsidRPr="00487553">
        <w:rPr>
          <w:rFonts w:asciiTheme="minorEastAsia" w:eastAsiaTheme="minorEastAsia" w:hAnsiTheme="minorEastAsia" w:hint="eastAsia"/>
          <w:szCs w:val="21"/>
        </w:rPr>
        <w:t>所载内容截止日为2019年8月21日</w:t>
      </w:r>
      <w:r w:rsidRPr="00487553">
        <w:rPr>
          <w:rFonts w:asciiTheme="minorEastAsia" w:eastAsiaTheme="minorEastAsia" w:hAnsiTheme="minorEastAsia" w:hint="eastAsia"/>
          <w:szCs w:val="21"/>
        </w:rPr>
        <w:t>，</w:t>
      </w:r>
      <w:r w:rsidR="00BF53B1" w:rsidRPr="00487553">
        <w:rPr>
          <w:rFonts w:asciiTheme="minorEastAsia" w:eastAsiaTheme="minorEastAsia" w:hAnsiTheme="minorEastAsia" w:hint="eastAsia"/>
          <w:szCs w:val="21"/>
        </w:rPr>
        <w:t>有关财务数据截止日为2019年6月30日</w:t>
      </w:r>
      <w:r w:rsidR="00BA53E8" w:rsidRPr="00487553">
        <w:rPr>
          <w:rFonts w:asciiTheme="minorEastAsia" w:eastAsiaTheme="minorEastAsia" w:hAnsiTheme="minorEastAsia" w:hint="eastAsia"/>
          <w:szCs w:val="21"/>
        </w:rPr>
        <w:t>，</w:t>
      </w:r>
      <w:r w:rsidR="00BF53B1" w:rsidRPr="00487553">
        <w:rPr>
          <w:rFonts w:asciiTheme="minorEastAsia" w:eastAsiaTheme="minorEastAsia" w:hAnsiTheme="minorEastAsia" w:hint="eastAsia"/>
          <w:szCs w:val="21"/>
        </w:rPr>
        <w:t>净值表现截止日为2019年6月30日</w:t>
      </w:r>
      <w:r w:rsidRPr="00487553">
        <w:rPr>
          <w:rFonts w:asciiTheme="minorEastAsia" w:eastAsiaTheme="minorEastAsia" w:hAnsiTheme="minorEastAsia" w:hint="eastAsia"/>
          <w:szCs w:val="21"/>
        </w:rPr>
        <w:t>。（本报告中财务数据未经审计）</w:t>
      </w:r>
    </w:p>
    <w:p w14:paraId="0158280F" w14:textId="77777777" w:rsidR="00B0324F" w:rsidRPr="00487553" w:rsidRDefault="00B0324F" w:rsidP="00D94E68">
      <w:pPr>
        <w:snapToGrid w:val="0"/>
        <w:spacing w:line="360" w:lineRule="auto"/>
        <w:ind w:firstLine="480"/>
        <w:rPr>
          <w:rFonts w:asciiTheme="minorEastAsia" w:eastAsiaTheme="minorEastAsia" w:hAnsiTheme="minorEastAsia"/>
          <w:szCs w:val="21"/>
        </w:rPr>
        <w:sectPr w:rsidR="00B0324F" w:rsidRPr="00487553" w:rsidSect="00294707">
          <w:headerReference w:type="even" r:id="rId9"/>
          <w:headerReference w:type="default" r:id="rId10"/>
          <w:footerReference w:type="even" r:id="rId11"/>
          <w:footerReference w:type="default" r:id="rId12"/>
          <w:footerReference w:type="first" r:id="rId13"/>
          <w:pgSz w:w="11906" w:h="16838" w:code="9"/>
          <w:pgMar w:top="1701" w:right="1797" w:bottom="1701" w:left="1797" w:header="1134" w:footer="1247" w:gutter="0"/>
          <w:pgNumType w:fmt="upperRoman" w:start="1"/>
          <w:cols w:space="425"/>
          <w:titlePg/>
          <w:docGrid w:type="linesAndChars" w:linePitch="447"/>
        </w:sectPr>
      </w:pPr>
    </w:p>
    <w:p w14:paraId="2E057E00" w14:textId="51C51811" w:rsidR="0064594E" w:rsidRPr="00487553" w:rsidRDefault="0064594E" w:rsidP="00D94E68">
      <w:pPr>
        <w:adjustRightInd w:val="0"/>
        <w:snapToGrid w:val="0"/>
        <w:spacing w:line="360" w:lineRule="auto"/>
        <w:jc w:val="center"/>
        <w:rPr>
          <w:rFonts w:asciiTheme="minorEastAsia" w:eastAsiaTheme="minorEastAsia" w:hAnsiTheme="minorEastAsia"/>
          <w:b/>
          <w:sz w:val="28"/>
          <w:szCs w:val="28"/>
        </w:rPr>
      </w:pPr>
      <w:r w:rsidRPr="00487553">
        <w:rPr>
          <w:rFonts w:asciiTheme="minorEastAsia" w:eastAsiaTheme="minorEastAsia" w:hAnsiTheme="minorEastAsia"/>
          <w:b/>
          <w:sz w:val="28"/>
          <w:szCs w:val="28"/>
        </w:rPr>
        <w:lastRenderedPageBreak/>
        <w:t>目录</w:t>
      </w:r>
    </w:p>
    <w:p w14:paraId="711C15D5" w14:textId="77777777" w:rsidR="00487553" w:rsidRDefault="00BC2536">
      <w:pPr>
        <w:pStyle w:val="10"/>
        <w:tabs>
          <w:tab w:val="left" w:pos="1260"/>
        </w:tabs>
        <w:rPr>
          <w:rFonts w:asciiTheme="minorHAnsi" w:eastAsiaTheme="minorEastAsia" w:hAnsiTheme="minorHAnsi" w:cstheme="minorBidi"/>
          <w:caps w:val="0"/>
          <w:sz w:val="21"/>
          <w:szCs w:val="22"/>
        </w:rPr>
      </w:pPr>
      <w:r w:rsidRPr="00487553">
        <w:rPr>
          <w:rFonts w:asciiTheme="minorEastAsia" w:eastAsiaTheme="minorEastAsia" w:hAnsiTheme="minorEastAsia"/>
          <w:b/>
          <w:caps w:val="0"/>
          <w:szCs w:val="21"/>
        </w:rPr>
        <w:fldChar w:fldCharType="begin"/>
      </w:r>
      <w:r w:rsidR="00405611" w:rsidRPr="00487553">
        <w:rPr>
          <w:rFonts w:asciiTheme="minorEastAsia" w:eastAsiaTheme="minorEastAsia" w:hAnsiTheme="minorEastAsia"/>
          <w:b/>
          <w:caps w:val="0"/>
          <w:szCs w:val="21"/>
        </w:rPr>
        <w:instrText xml:space="preserve"> TOC \o "1-3" \h \z \u </w:instrText>
      </w:r>
      <w:r w:rsidRPr="00487553">
        <w:rPr>
          <w:rFonts w:asciiTheme="minorEastAsia" w:eastAsiaTheme="minorEastAsia" w:hAnsiTheme="minorEastAsia"/>
          <w:b/>
          <w:caps w:val="0"/>
          <w:szCs w:val="21"/>
        </w:rPr>
        <w:fldChar w:fldCharType="separate"/>
      </w:r>
      <w:hyperlink w:anchor="_Toc20148402" w:history="1">
        <w:r w:rsidR="00487553" w:rsidRPr="00981BD2">
          <w:rPr>
            <w:rStyle w:val="af2"/>
            <w:rFonts w:asciiTheme="minorEastAsia" w:hAnsiTheme="minorEastAsia" w:hint="eastAsia"/>
          </w:rPr>
          <w:t>第一节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绪言</w:t>
        </w:r>
        <w:r w:rsidR="00487553">
          <w:rPr>
            <w:webHidden/>
          </w:rPr>
          <w:tab/>
        </w:r>
        <w:r w:rsidR="00487553">
          <w:rPr>
            <w:webHidden/>
          </w:rPr>
          <w:fldChar w:fldCharType="begin"/>
        </w:r>
        <w:r w:rsidR="00487553">
          <w:rPr>
            <w:webHidden/>
          </w:rPr>
          <w:instrText xml:space="preserve"> PAGEREF _Toc20148402 \h </w:instrText>
        </w:r>
        <w:r w:rsidR="00487553">
          <w:rPr>
            <w:webHidden/>
          </w:rPr>
        </w:r>
        <w:r w:rsidR="00487553">
          <w:rPr>
            <w:webHidden/>
          </w:rPr>
          <w:fldChar w:fldCharType="separate"/>
        </w:r>
        <w:r w:rsidR="00A0463E">
          <w:rPr>
            <w:webHidden/>
          </w:rPr>
          <w:t>1</w:t>
        </w:r>
        <w:r w:rsidR="00487553">
          <w:rPr>
            <w:webHidden/>
          </w:rPr>
          <w:fldChar w:fldCharType="end"/>
        </w:r>
      </w:hyperlink>
    </w:p>
    <w:p w14:paraId="5D7E88AF"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03" w:history="1">
        <w:r w:rsidR="00487553" w:rsidRPr="00981BD2">
          <w:rPr>
            <w:rStyle w:val="af2"/>
            <w:rFonts w:asciiTheme="minorEastAsia" w:hAnsiTheme="minorEastAsia" w:hint="eastAsia"/>
          </w:rPr>
          <w:t>第二节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释义</w:t>
        </w:r>
        <w:r w:rsidR="00487553">
          <w:rPr>
            <w:webHidden/>
          </w:rPr>
          <w:tab/>
        </w:r>
        <w:r w:rsidR="00487553">
          <w:rPr>
            <w:webHidden/>
          </w:rPr>
          <w:fldChar w:fldCharType="begin"/>
        </w:r>
        <w:r w:rsidR="00487553">
          <w:rPr>
            <w:webHidden/>
          </w:rPr>
          <w:instrText xml:space="preserve"> PAGEREF _Toc20148403 \h </w:instrText>
        </w:r>
        <w:r w:rsidR="00487553">
          <w:rPr>
            <w:webHidden/>
          </w:rPr>
        </w:r>
        <w:r w:rsidR="00487553">
          <w:rPr>
            <w:webHidden/>
          </w:rPr>
          <w:fldChar w:fldCharType="separate"/>
        </w:r>
        <w:r w:rsidR="00A0463E">
          <w:rPr>
            <w:webHidden/>
          </w:rPr>
          <w:t>2</w:t>
        </w:r>
        <w:r w:rsidR="00487553">
          <w:rPr>
            <w:webHidden/>
          </w:rPr>
          <w:fldChar w:fldCharType="end"/>
        </w:r>
      </w:hyperlink>
    </w:p>
    <w:p w14:paraId="5A4E8899"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04" w:history="1">
        <w:r w:rsidR="00487553" w:rsidRPr="00981BD2">
          <w:rPr>
            <w:rStyle w:val="af2"/>
            <w:rFonts w:asciiTheme="minorEastAsia" w:hAnsiTheme="minorEastAsia" w:hint="eastAsia"/>
          </w:rPr>
          <w:t>第三节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风险揭示</w:t>
        </w:r>
        <w:r w:rsidR="00487553">
          <w:rPr>
            <w:webHidden/>
          </w:rPr>
          <w:tab/>
        </w:r>
        <w:r w:rsidR="00487553">
          <w:rPr>
            <w:webHidden/>
          </w:rPr>
          <w:fldChar w:fldCharType="begin"/>
        </w:r>
        <w:r w:rsidR="00487553">
          <w:rPr>
            <w:webHidden/>
          </w:rPr>
          <w:instrText xml:space="preserve"> PAGEREF _Toc20148404 \h </w:instrText>
        </w:r>
        <w:r w:rsidR="00487553">
          <w:rPr>
            <w:webHidden/>
          </w:rPr>
        </w:r>
        <w:r w:rsidR="00487553">
          <w:rPr>
            <w:webHidden/>
          </w:rPr>
          <w:fldChar w:fldCharType="separate"/>
        </w:r>
        <w:r w:rsidR="00A0463E">
          <w:rPr>
            <w:webHidden/>
          </w:rPr>
          <w:t>6</w:t>
        </w:r>
        <w:r w:rsidR="00487553">
          <w:rPr>
            <w:webHidden/>
          </w:rPr>
          <w:fldChar w:fldCharType="end"/>
        </w:r>
      </w:hyperlink>
    </w:p>
    <w:p w14:paraId="11DB4C6C" w14:textId="77777777" w:rsidR="00487553" w:rsidRDefault="00E51D7B">
      <w:pPr>
        <w:pStyle w:val="20"/>
        <w:rPr>
          <w:rFonts w:asciiTheme="minorHAnsi" w:eastAsiaTheme="minorEastAsia" w:hAnsiTheme="minorHAnsi" w:cstheme="minorBidi"/>
          <w:smallCaps w:val="0"/>
          <w:szCs w:val="22"/>
        </w:rPr>
      </w:pPr>
      <w:hyperlink w:anchor="_Toc20148405"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本基金特有风险</w:t>
        </w:r>
        <w:r w:rsidR="00487553">
          <w:rPr>
            <w:webHidden/>
          </w:rPr>
          <w:tab/>
        </w:r>
        <w:r w:rsidR="00487553">
          <w:rPr>
            <w:webHidden/>
          </w:rPr>
          <w:fldChar w:fldCharType="begin"/>
        </w:r>
        <w:r w:rsidR="00487553">
          <w:rPr>
            <w:webHidden/>
          </w:rPr>
          <w:instrText xml:space="preserve"> PAGEREF _Toc20148405 \h </w:instrText>
        </w:r>
        <w:r w:rsidR="00487553">
          <w:rPr>
            <w:webHidden/>
          </w:rPr>
        </w:r>
        <w:r w:rsidR="00487553">
          <w:rPr>
            <w:webHidden/>
          </w:rPr>
          <w:fldChar w:fldCharType="separate"/>
        </w:r>
        <w:r w:rsidR="00A0463E">
          <w:rPr>
            <w:webHidden/>
          </w:rPr>
          <w:t>6</w:t>
        </w:r>
        <w:r w:rsidR="00487553">
          <w:rPr>
            <w:webHidden/>
          </w:rPr>
          <w:fldChar w:fldCharType="end"/>
        </w:r>
      </w:hyperlink>
    </w:p>
    <w:p w14:paraId="250F81DC" w14:textId="77777777" w:rsidR="00487553" w:rsidRDefault="00E51D7B">
      <w:pPr>
        <w:pStyle w:val="20"/>
        <w:rPr>
          <w:rFonts w:asciiTheme="minorHAnsi" w:eastAsiaTheme="minorEastAsia" w:hAnsiTheme="minorHAnsi" w:cstheme="minorBidi"/>
          <w:smallCaps w:val="0"/>
          <w:szCs w:val="22"/>
        </w:rPr>
      </w:pPr>
      <w:hyperlink w:anchor="_Toc20148406"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投资风险</w:t>
        </w:r>
        <w:r w:rsidR="00487553">
          <w:rPr>
            <w:webHidden/>
          </w:rPr>
          <w:tab/>
        </w:r>
        <w:r w:rsidR="00487553">
          <w:rPr>
            <w:webHidden/>
          </w:rPr>
          <w:fldChar w:fldCharType="begin"/>
        </w:r>
        <w:r w:rsidR="00487553">
          <w:rPr>
            <w:webHidden/>
          </w:rPr>
          <w:instrText xml:space="preserve"> PAGEREF _Toc20148406 \h </w:instrText>
        </w:r>
        <w:r w:rsidR="00487553">
          <w:rPr>
            <w:webHidden/>
          </w:rPr>
        </w:r>
        <w:r w:rsidR="00487553">
          <w:rPr>
            <w:webHidden/>
          </w:rPr>
          <w:fldChar w:fldCharType="separate"/>
        </w:r>
        <w:r w:rsidR="00A0463E">
          <w:rPr>
            <w:webHidden/>
          </w:rPr>
          <w:t>8</w:t>
        </w:r>
        <w:r w:rsidR="00487553">
          <w:rPr>
            <w:webHidden/>
          </w:rPr>
          <w:fldChar w:fldCharType="end"/>
        </w:r>
      </w:hyperlink>
    </w:p>
    <w:p w14:paraId="5EF5985B" w14:textId="77777777" w:rsidR="00487553" w:rsidRDefault="00E51D7B">
      <w:pPr>
        <w:pStyle w:val="20"/>
        <w:rPr>
          <w:rFonts w:asciiTheme="minorHAnsi" w:eastAsiaTheme="minorEastAsia" w:hAnsiTheme="minorHAnsi" w:cstheme="minorBidi"/>
          <w:smallCaps w:val="0"/>
          <w:szCs w:val="22"/>
        </w:rPr>
      </w:pPr>
      <w:hyperlink w:anchor="_Toc20148407"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流动性风险</w:t>
        </w:r>
        <w:r w:rsidR="00487553">
          <w:rPr>
            <w:webHidden/>
          </w:rPr>
          <w:tab/>
        </w:r>
        <w:r w:rsidR="00487553">
          <w:rPr>
            <w:webHidden/>
          </w:rPr>
          <w:fldChar w:fldCharType="begin"/>
        </w:r>
        <w:r w:rsidR="00487553">
          <w:rPr>
            <w:webHidden/>
          </w:rPr>
          <w:instrText xml:space="preserve"> PAGEREF _Toc20148407 \h </w:instrText>
        </w:r>
        <w:r w:rsidR="00487553">
          <w:rPr>
            <w:webHidden/>
          </w:rPr>
        </w:r>
        <w:r w:rsidR="00487553">
          <w:rPr>
            <w:webHidden/>
          </w:rPr>
          <w:fldChar w:fldCharType="separate"/>
        </w:r>
        <w:r w:rsidR="00A0463E">
          <w:rPr>
            <w:webHidden/>
          </w:rPr>
          <w:t>9</w:t>
        </w:r>
        <w:r w:rsidR="00487553">
          <w:rPr>
            <w:webHidden/>
          </w:rPr>
          <w:fldChar w:fldCharType="end"/>
        </w:r>
      </w:hyperlink>
    </w:p>
    <w:p w14:paraId="0EE2C72F" w14:textId="77777777" w:rsidR="00487553" w:rsidRDefault="00E51D7B">
      <w:pPr>
        <w:pStyle w:val="20"/>
        <w:rPr>
          <w:rFonts w:asciiTheme="minorHAnsi" w:eastAsiaTheme="minorEastAsia" w:hAnsiTheme="minorHAnsi" w:cstheme="minorBidi"/>
          <w:smallCaps w:val="0"/>
          <w:szCs w:val="22"/>
        </w:rPr>
      </w:pPr>
      <w:hyperlink w:anchor="_Toc20148408"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运作风险</w:t>
        </w:r>
        <w:r w:rsidR="00487553">
          <w:rPr>
            <w:webHidden/>
          </w:rPr>
          <w:tab/>
        </w:r>
        <w:r w:rsidR="00487553">
          <w:rPr>
            <w:webHidden/>
          </w:rPr>
          <w:fldChar w:fldCharType="begin"/>
        </w:r>
        <w:r w:rsidR="00487553">
          <w:rPr>
            <w:webHidden/>
          </w:rPr>
          <w:instrText xml:space="preserve"> PAGEREF _Toc20148408 \h </w:instrText>
        </w:r>
        <w:r w:rsidR="00487553">
          <w:rPr>
            <w:webHidden/>
          </w:rPr>
        </w:r>
        <w:r w:rsidR="00487553">
          <w:rPr>
            <w:webHidden/>
          </w:rPr>
          <w:fldChar w:fldCharType="separate"/>
        </w:r>
        <w:r w:rsidR="00A0463E">
          <w:rPr>
            <w:webHidden/>
          </w:rPr>
          <w:t>10</w:t>
        </w:r>
        <w:r w:rsidR="00487553">
          <w:rPr>
            <w:webHidden/>
          </w:rPr>
          <w:fldChar w:fldCharType="end"/>
        </w:r>
      </w:hyperlink>
    </w:p>
    <w:p w14:paraId="2D000DAC" w14:textId="77777777" w:rsidR="00487553" w:rsidRDefault="00E51D7B">
      <w:pPr>
        <w:pStyle w:val="20"/>
        <w:rPr>
          <w:rFonts w:asciiTheme="minorHAnsi" w:eastAsiaTheme="minorEastAsia" w:hAnsiTheme="minorHAnsi" w:cstheme="minorBidi"/>
          <w:smallCaps w:val="0"/>
          <w:szCs w:val="22"/>
        </w:rPr>
      </w:pPr>
      <w:hyperlink w:anchor="_Toc20148409"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不可抗力风险</w:t>
        </w:r>
        <w:r w:rsidR="00487553">
          <w:rPr>
            <w:webHidden/>
          </w:rPr>
          <w:tab/>
        </w:r>
        <w:r w:rsidR="00487553">
          <w:rPr>
            <w:webHidden/>
          </w:rPr>
          <w:fldChar w:fldCharType="begin"/>
        </w:r>
        <w:r w:rsidR="00487553">
          <w:rPr>
            <w:webHidden/>
          </w:rPr>
          <w:instrText xml:space="preserve"> PAGEREF _Toc20148409 \h </w:instrText>
        </w:r>
        <w:r w:rsidR="00487553">
          <w:rPr>
            <w:webHidden/>
          </w:rPr>
        </w:r>
        <w:r w:rsidR="00487553">
          <w:rPr>
            <w:webHidden/>
          </w:rPr>
          <w:fldChar w:fldCharType="separate"/>
        </w:r>
        <w:r w:rsidR="00A0463E">
          <w:rPr>
            <w:webHidden/>
          </w:rPr>
          <w:t>11</w:t>
        </w:r>
        <w:r w:rsidR="00487553">
          <w:rPr>
            <w:webHidden/>
          </w:rPr>
          <w:fldChar w:fldCharType="end"/>
        </w:r>
      </w:hyperlink>
    </w:p>
    <w:p w14:paraId="761950C7"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10" w:history="1">
        <w:r w:rsidR="00487553" w:rsidRPr="00981BD2">
          <w:rPr>
            <w:rStyle w:val="af2"/>
            <w:rFonts w:asciiTheme="minorEastAsia" w:hAnsiTheme="minorEastAsia" w:hint="eastAsia"/>
          </w:rPr>
          <w:t>第四节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基金的投资</w:t>
        </w:r>
        <w:r w:rsidR="00487553">
          <w:rPr>
            <w:webHidden/>
          </w:rPr>
          <w:tab/>
        </w:r>
        <w:r w:rsidR="00487553">
          <w:rPr>
            <w:webHidden/>
          </w:rPr>
          <w:fldChar w:fldCharType="begin"/>
        </w:r>
        <w:r w:rsidR="00487553">
          <w:rPr>
            <w:webHidden/>
          </w:rPr>
          <w:instrText xml:space="preserve"> PAGEREF _Toc20148410 \h </w:instrText>
        </w:r>
        <w:r w:rsidR="00487553">
          <w:rPr>
            <w:webHidden/>
          </w:rPr>
        </w:r>
        <w:r w:rsidR="00487553">
          <w:rPr>
            <w:webHidden/>
          </w:rPr>
          <w:fldChar w:fldCharType="separate"/>
        </w:r>
        <w:r w:rsidR="00A0463E">
          <w:rPr>
            <w:webHidden/>
          </w:rPr>
          <w:t>12</w:t>
        </w:r>
        <w:r w:rsidR="00487553">
          <w:rPr>
            <w:webHidden/>
          </w:rPr>
          <w:fldChar w:fldCharType="end"/>
        </w:r>
      </w:hyperlink>
    </w:p>
    <w:p w14:paraId="443CE591" w14:textId="77777777" w:rsidR="00487553" w:rsidRDefault="00E51D7B">
      <w:pPr>
        <w:pStyle w:val="20"/>
        <w:rPr>
          <w:rFonts w:asciiTheme="minorHAnsi" w:eastAsiaTheme="minorEastAsia" w:hAnsiTheme="minorHAnsi" w:cstheme="minorBidi"/>
          <w:smallCaps w:val="0"/>
          <w:szCs w:val="22"/>
        </w:rPr>
      </w:pPr>
      <w:hyperlink w:anchor="_Toc20148411"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投资目标</w:t>
        </w:r>
        <w:r w:rsidR="00487553">
          <w:rPr>
            <w:webHidden/>
          </w:rPr>
          <w:tab/>
        </w:r>
        <w:r w:rsidR="00487553">
          <w:rPr>
            <w:webHidden/>
          </w:rPr>
          <w:fldChar w:fldCharType="begin"/>
        </w:r>
        <w:r w:rsidR="00487553">
          <w:rPr>
            <w:webHidden/>
          </w:rPr>
          <w:instrText xml:space="preserve"> PAGEREF _Toc20148411 \h </w:instrText>
        </w:r>
        <w:r w:rsidR="00487553">
          <w:rPr>
            <w:webHidden/>
          </w:rPr>
        </w:r>
        <w:r w:rsidR="00487553">
          <w:rPr>
            <w:webHidden/>
          </w:rPr>
          <w:fldChar w:fldCharType="separate"/>
        </w:r>
        <w:r w:rsidR="00A0463E">
          <w:rPr>
            <w:webHidden/>
          </w:rPr>
          <w:t>12</w:t>
        </w:r>
        <w:r w:rsidR="00487553">
          <w:rPr>
            <w:webHidden/>
          </w:rPr>
          <w:fldChar w:fldCharType="end"/>
        </w:r>
      </w:hyperlink>
    </w:p>
    <w:p w14:paraId="6F3FCE81" w14:textId="77777777" w:rsidR="00487553" w:rsidRDefault="00E51D7B">
      <w:pPr>
        <w:pStyle w:val="20"/>
        <w:rPr>
          <w:rFonts w:asciiTheme="minorHAnsi" w:eastAsiaTheme="minorEastAsia" w:hAnsiTheme="minorHAnsi" w:cstheme="minorBidi"/>
          <w:smallCaps w:val="0"/>
          <w:szCs w:val="22"/>
        </w:rPr>
      </w:pPr>
      <w:hyperlink w:anchor="_Toc20148412"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投资范围</w:t>
        </w:r>
        <w:r w:rsidR="00487553">
          <w:rPr>
            <w:webHidden/>
          </w:rPr>
          <w:tab/>
        </w:r>
        <w:r w:rsidR="00487553">
          <w:rPr>
            <w:webHidden/>
          </w:rPr>
          <w:fldChar w:fldCharType="begin"/>
        </w:r>
        <w:r w:rsidR="00487553">
          <w:rPr>
            <w:webHidden/>
          </w:rPr>
          <w:instrText xml:space="preserve"> PAGEREF _Toc20148412 \h </w:instrText>
        </w:r>
        <w:r w:rsidR="00487553">
          <w:rPr>
            <w:webHidden/>
          </w:rPr>
        </w:r>
        <w:r w:rsidR="00487553">
          <w:rPr>
            <w:webHidden/>
          </w:rPr>
          <w:fldChar w:fldCharType="separate"/>
        </w:r>
        <w:r w:rsidR="00A0463E">
          <w:rPr>
            <w:webHidden/>
          </w:rPr>
          <w:t>12</w:t>
        </w:r>
        <w:r w:rsidR="00487553">
          <w:rPr>
            <w:webHidden/>
          </w:rPr>
          <w:fldChar w:fldCharType="end"/>
        </w:r>
      </w:hyperlink>
    </w:p>
    <w:p w14:paraId="7DE21B1A" w14:textId="77777777" w:rsidR="00487553" w:rsidRDefault="00E51D7B">
      <w:pPr>
        <w:pStyle w:val="20"/>
        <w:rPr>
          <w:rFonts w:asciiTheme="minorHAnsi" w:eastAsiaTheme="minorEastAsia" w:hAnsiTheme="minorHAnsi" w:cstheme="minorBidi"/>
          <w:smallCaps w:val="0"/>
          <w:szCs w:val="22"/>
        </w:rPr>
      </w:pPr>
      <w:hyperlink w:anchor="_Toc20148413"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投资理念</w:t>
        </w:r>
        <w:r w:rsidR="00487553">
          <w:rPr>
            <w:webHidden/>
          </w:rPr>
          <w:tab/>
        </w:r>
        <w:r w:rsidR="00487553">
          <w:rPr>
            <w:webHidden/>
          </w:rPr>
          <w:fldChar w:fldCharType="begin"/>
        </w:r>
        <w:r w:rsidR="00487553">
          <w:rPr>
            <w:webHidden/>
          </w:rPr>
          <w:instrText xml:space="preserve"> PAGEREF _Toc20148413 \h </w:instrText>
        </w:r>
        <w:r w:rsidR="00487553">
          <w:rPr>
            <w:webHidden/>
          </w:rPr>
        </w:r>
        <w:r w:rsidR="00487553">
          <w:rPr>
            <w:webHidden/>
          </w:rPr>
          <w:fldChar w:fldCharType="separate"/>
        </w:r>
        <w:r w:rsidR="00A0463E">
          <w:rPr>
            <w:webHidden/>
          </w:rPr>
          <w:t>12</w:t>
        </w:r>
        <w:r w:rsidR="00487553">
          <w:rPr>
            <w:webHidden/>
          </w:rPr>
          <w:fldChar w:fldCharType="end"/>
        </w:r>
      </w:hyperlink>
    </w:p>
    <w:p w14:paraId="6636B88B" w14:textId="77777777" w:rsidR="00487553" w:rsidRDefault="00E51D7B">
      <w:pPr>
        <w:pStyle w:val="20"/>
        <w:rPr>
          <w:rFonts w:asciiTheme="minorHAnsi" w:eastAsiaTheme="minorEastAsia" w:hAnsiTheme="minorHAnsi" w:cstheme="minorBidi"/>
          <w:smallCaps w:val="0"/>
          <w:szCs w:val="22"/>
        </w:rPr>
      </w:pPr>
      <w:hyperlink w:anchor="_Toc20148414"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投资策略</w:t>
        </w:r>
        <w:r w:rsidR="00487553">
          <w:rPr>
            <w:webHidden/>
          </w:rPr>
          <w:tab/>
        </w:r>
        <w:r w:rsidR="00487553">
          <w:rPr>
            <w:webHidden/>
          </w:rPr>
          <w:fldChar w:fldCharType="begin"/>
        </w:r>
        <w:r w:rsidR="00487553">
          <w:rPr>
            <w:webHidden/>
          </w:rPr>
          <w:instrText xml:space="preserve"> PAGEREF _Toc20148414 \h </w:instrText>
        </w:r>
        <w:r w:rsidR="00487553">
          <w:rPr>
            <w:webHidden/>
          </w:rPr>
        </w:r>
        <w:r w:rsidR="00487553">
          <w:rPr>
            <w:webHidden/>
          </w:rPr>
          <w:fldChar w:fldCharType="separate"/>
        </w:r>
        <w:r w:rsidR="00A0463E">
          <w:rPr>
            <w:webHidden/>
          </w:rPr>
          <w:t>12</w:t>
        </w:r>
        <w:r w:rsidR="00487553">
          <w:rPr>
            <w:webHidden/>
          </w:rPr>
          <w:fldChar w:fldCharType="end"/>
        </w:r>
      </w:hyperlink>
    </w:p>
    <w:p w14:paraId="5C528F53" w14:textId="77777777" w:rsidR="00487553" w:rsidRDefault="00E51D7B">
      <w:pPr>
        <w:pStyle w:val="20"/>
        <w:rPr>
          <w:rFonts w:asciiTheme="minorHAnsi" w:eastAsiaTheme="minorEastAsia" w:hAnsiTheme="minorHAnsi" w:cstheme="minorBidi"/>
          <w:smallCaps w:val="0"/>
          <w:szCs w:val="22"/>
        </w:rPr>
      </w:pPr>
      <w:hyperlink w:anchor="_Toc20148415"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业绩比较基准</w:t>
        </w:r>
        <w:r w:rsidR="00487553">
          <w:rPr>
            <w:webHidden/>
          </w:rPr>
          <w:tab/>
        </w:r>
        <w:r w:rsidR="00487553">
          <w:rPr>
            <w:webHidden/>
          </w:rPr>
          <w:fldChar w:fldCharType="begin"/>
        </w:r>
        <w:r w:rsidR="00487553">
          <w:rPr>
            <w:webHidden/>
          </w:rPr>
          <w:instrText xml:space="preserve"> PAGEREF _Toc20148415 \h </w:instrText>
        </w:r>
        <w:r w:rsidR="00487553">
          <w:rPr>
            <w:webHidden/>
          </w:rPr>
        </w:r>
        <w:r w:rsidR="00487553">
          <w:rPr>
            <w:webHidden/>
          </w:rPr>
          <w:fldChar w:fldCharType="separate"/>
        </w:r>
        <w:r w:rsidR="00A0463E">
          <w:rPr>
            <w:webHidden/>
          </w:rPr>
          <w:t>12</w:t>
        </w:r>
        <w:r w:rsidR="00487553">
          <w:rPr>
            <w:webHidden/>
          </w:rPr>
          <w:fldChar w:fldCharType="end"/>
        </w:r>
      </w:hyperlink>
    </w:p>
    <w:p w14:paraId="66515365" w14:textId="77777777" w:rsidR="00487553" w:rsidRDefault="00E51D7B">
      <w:pPr>
        <w:pStyle w:val="20"/>
        <w:rPr>
          <w:rFonts w:asciiTheme="minorHAnsi" w:eastAsiaTheme="minorEastAsia" w:hAnsiTheme="minorHAnsi" w:cstheme="minorBidi"/>
          <w:smallCaps w:val="0"/>
          <w:szCs w:val="22"/>
        </w:rPr>
      </w:pPr>
      <w:hyperlink w:anchor="_Toc20148416" w:history="1">
        <w:r w:rsidR="00487553" w:rsidRPr="00981BD2">
          <w:rPr>
            <w:rStyle w:val="af2"/>
            <w:rFonts w:asciiTheme="minorEastAsia" w:hAnsiTheme="minorEastAsia" w:hint="eastAsia"/>
          </w:rPr>
          <w:t>六、</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风险收益特征</w:t>
        </w:r>
        <w:r w:rsidR="00487553">
          <w:rPr>
            <w:webHidden/>
          </w:rPr>
          <w:tab/>
        </w:r>
        <w:r w:rsidR="00487553">
          <w:rPr>
            <w:webHidden/>
          </w:rPr>
          <w:fldChar w:fldCharType="begin"/>
        </w:r>
        <w:r w:rsidR="00487553">
          <w:rPr>
            <w:webHidden/>
          </w:rPr>
          <w:instrText xml:space="preserve"> PAGEREF _Toc20148416 \h </w:instrText>
        </w:r>
        <w:r w:rsidR="00487553">
          <w:rPr>
            <w:webHidden/>
          </w:rPr>
        </w:r>
        <w:r w:rsidR="00487553">
          <w:rPr>
            <w:webHidden/>
          </w:rPr>
          <w:fldChar w:fldCharType="separate"/>
        </w:r>
        <w:r w:rsidR="00A0463E">
          <w:rPr>
            <w:webHidden/>
          </w:rPr>
          <w:t>13</w:t>
        </w:r>
        <w:r w:rsidR="00487553">
          <w:rPr>
            <w:webHidden/>
          </w:rPr>
          <w:fldChar w:fldCharType="end"/>
        </w:r>
      </w:hyperlink>
    </w:p>
    <w:p w14:paraId="58F92747" w14:textId="77777777" w:rsidR="00487553" w:rsidRDefault="00E51D7B">
      <w:pPr>
        <w:pStyle w:val="20"/>
        <w:rPr>
          <w:rFonts w:asciiTheme="minorHAnsi" w:eastAsiaTheme="minorEastAsia" w:hAnsiTheme="minorHAnsi" w:cstheme="minorBidi"/>
          <w:smallCaps w:val="0"/>
          <w:szCs w:val="22"/>
        </w:rPr>
      </w:pPr>
      <w:hyperlink w:anchor="_Toc20148417" w:history="1">
        <w:r w:rsidR="00487553" w:rsidRPr="00981BD2">
          <w:rPr>
            <w:rStyle w:val="af2"/>
            <w:rFonts w:asciiTheme="minorEastAsia" w:hAnsiTheme="minorEastAsia" w:hint="eastAsia"/>
          </w:rPr>
          <w:t>七、</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投资决策依据与决策程序</w:t>
        </w:r>
        <w:r w:rsidR="00487553">
          <w:rPr>
            <w:webHidden/>
          </w:rPr>
          <w:tab/>
        </w:r>
        <w:r w:rsidR="00487553">
          <w:rPr>
            <w:webHidden/>
          </w:rPr>
          <w:fldChar w:fldCharType="begin"/>
        </w:r>
        <w:r w:rsidR="00487553">
          <w:rPr>
            <w:webHidden/>
          </w:rPr>
          <w:instrText xml:space="preserve"> PAGEREF _Toc20148417 \h </w:instrText>
        </w:r>
        <w:r w:rsidR="00487553">
          <w:rPr>
            <w:webHidden/>
          </w:rPr>
        </w:r>
        <w:r w:rsidR="00487553">
          <w:rPr>
            <w:webHidden/>
          </w:rPr>
          <w:fldChar w:fldCharType="separate"/>
        </w:r>
        <w:r w:rsidR="00A0463E">
          <w:rPr>
            <w:webHidden/>
          </w:rPr>
          <w:t>13</w:t>
        </w:r>
        <w:r w:rsidR="00487553">
          <w:rPr>
            <w:webHidden/>
          </w:rPr>
          <w:fldChar w:fldCharType="end"/>
        </w:r>
      </w:hyperlink>
    </w:p>
    <w:p w14:paraId="6964A39C" w14:textId="77777777" w:rsidR="00487553" w:rsidRDefault="00E51D7B">
      <w:pPr>
        <w:pStyle w:val="20"/>
        <w:rPr>
          <w:rFonts w:asciiTheme="minorHAnsi" w:eastAsiaTheme="minorEastAsia" w:hAnsiTheme="minorHAnsi" w:cstheme="minorBidi"/>
          <w:smallCaps w:val="0"/>
          <w:szCs w:val="22"/>
        </w:rPr>
      </w:pPr>
      <w:hyperlink w:anchor="_Toc20148418" w:history="1">
        <w:r w:rsidR="00487553" w:rsidRPr="00981BD2">
          <w:rPr>
            <w:rStyle w:val="af2"/>
            <w:rFonts w:asciiTheme="minorEastAsia" w:hAnsiTheme="minorEastAsia" w:hint="eastAsia"/>
          </w:rPr>
          <w:t>八、</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投资禁止与限制</w:t>
        </w:r>
        <w:r w:rsidR="00487553">
          <w:rPr>
            <w:webHidden/>
          </w:rPr>
          <w:tab/>
        </w:r>
        <w:r w:rsidR="00487553">
          <w:rPr>
            <w:webHidden/>
          </w:rPr>
          <w:fldChar w:fldCharType="begin"/>
        </w:r>
        <w:r w:rsidR="00487553">
          <w:rPr>
            <w:webHidden/>
          </w:rPr>
          <w:instrText xml:space="preserve"> PAGEREF _Toc20148418 \h </w:instrText>
        </w:r>
        <w:r w:rsidR="00487553">
          <w:rPr>
            <w:webHidden/>
          </w:rPr>
        </w:r>
        <w:r w:rsidR="00487553">
          <w:rPr>
            <w:webHidden/>
          </w:rPr>
          <w:fldChar w:fldCharType="separate"/>
        </w:r>
        <w:r w:rsidR="00A0463E">
          <w:rPr>
            <w:webHidden/>
          </w:rPr>
          <w:t>13</w:t>
        </w:r>
        <w:r w:rsidR="00487553">
          <w:rPr>
            <w:webHidden/>
          </w:rPr>
          <w:fldChar w:fldCharType="end"/>
        </w:r>
      </w:hyperlink>
    </w:p>
    <w:p w14:paraId="54E58930" w14:textId="77777777" w:rsidR="00487553" w:rsidRDefault="00E51D7B">
      <w:pPr>
        <w:pStyle w:val="20"/>
        <w:rPr>
          <w:rFonts w:asciiTheme="minorHAnsi" w:eastAsiaTheme="minorEastAsia" w:hAnsiTheme="minorHAnsi" w:cstheme="minorBidi"/>
          <w:smallCaps w:val="0"/>
          <w:szCs w:val="22"/>
        </w:rPr>
      </w:pPr>
      <w:hyperlink w:anchor="_Toc20148419" w:history="1">
        <w:r w:rsidR="00487553" w:rsidRPr="00981BD2">
          <w:rPr>
            <w:rStyle w:val="af2"/>
            <w:rFonts w:asciiTheme="minorEastAsia" w:hAnsiTheme="minorEastAsia" w:hint="eastAsia"/>
            <w:bCs/>
          </w:rPr>
          <w:t>九、</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基金的融资融券</w:t>
        </w:r>
        <w:r w:rsidR="00487553">
          <w:rPr>
            <w:webHidden/>
          </w:rPr>
          <w:tab/>
        </w:r>
        <w:r w:rsidR="00487553">
          <w:rPr>
            <w:webHidden/>
          </w:rPr>
          <w:fldChar w:fldCharType="begin"/>
        </w:r>
        <w:r w:rsidR="00487553">
          <w:rPr>
            <w:webHidden/>
          </w:rPr>
          <w:instrText xml:space="preserve"> PAGEREF _Toc20148419 \h </w:instrText>
        </w:r>
        <w:r w:rsidR="00487553">
          <w:rPr>
            <w:webHidden/>
          </w:rPr>
        </w:r>
        <w:r w:rsidR="00487553">
          <w:rPr>
            <w:webHidden/>
          </w:rPr>
          <w:fldChar w:fldCharType="separate"/>
        </w:r>
        <w:r w:rsidR="00A0463E">
          <w:rPr>
            <w:webHidden/>
          </w:rPr>
          <w:t>13</w:t>
        </w:r>
        <w:r w:rsidR="00487553">
          <w:rPr>
            <w:webHidden/>
          </w:rPr>
          <w:fldChar w:fldCharType="end"/>
        </w:r>
      </w:hyperlink>
    </w:p>
    <w:p w14:paraId="04CCD766" w14:textId="77777777" w:rsidR="00487553" w:rsidRDefault="00E51D7B">
      <w:pPr>
        <w:pStyle w:val="20"/>
        <w:rPr>
          <w:rFonts w:asciiTheme="minorHAnsi" w:eastAsiaTheme="minorEastAsia" w:hAnsiTheme="minorHAnsi" w:cstheme="minorBidi"/>
          <w:smallCaps w:val="0"/>
          <w:szCs w:val="22"/>
        </w:rPr>
      </w:pPr>
      <w:hyperlink w:anchor="_Toc20148420" w:history="1">
        <w:r w:rsidR="00487553" w:rsidRPr="00981BD2">
          <w:rPr>
            <w:rStyle w:val="af2"/>
            <w:rFonts w:asciiTheme="minorEastAsia" w:hAnsiTheme="minorEastAsia" w:hint="eastAsia"/>
          </w:rPr>
          <w:t>十、</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基金管理人代表基金行使所投资证券产生权利的处理原则及方法</w:t>
        </w:r>
        <w:r w:rsidR="00487553">
          <w:rPr>
            <w:webHidden/>
          </w:rPr>
          <w:tab/>
        </w:r>
        <w:r w:rsidR="00487553">
          <w:rPr>
            <w:webHidden/>
          </w:rPr>
          <w:fldChar w:fldCharType="begin"/>
        </w:r>
        <w:r w:rsidR="00487553">
          <w:rPr>
            <w:webHidden/>
          </w:rPr>
          <w:instrText xml:space="preserve"> PAGEREF _Toc20148420 \h </w:instrText>
        </w:r>
        <w:r w:rsidR="00487553">
          <w:rPr>
            <w:webHidden/>
          </w:rPr>
        </w:r>
        <w:r w:rsidR="00487553">
          <w:rPr>
            <w:webHidden/>
          </w:rPr>
          <w:fldChar w:fldCharType="separate"/>
        </w:r>
        <w:r w:rsidR="00A0463E">
          <w:rPr>
            <w:webHidden/>
          </w:rPr>
          <w:t>14</w:t>
        </w:r>
        <w:r w:rsidR="00487553">
          <w:rPr>
            <w:webHidden/>
          </w:rPr>
          <w:fldChar w:fldCharType="end"/>
        </w:r>
      </w:hyperlink>
    </w:p>
    <w:p w14:paraId="4170192E" w14:textId="77777777" w:rsidR="00487553" w:rsidRDefault="00E51D7B">
      <w:pPr>
        <w:pStyle w:val="20"/>
        <w:rPr>
          <w:rFonts w:asciiTheme="minorHAnsi" w:eastAsiaTheme="minorEastAsia" w:hAnsiTheme="minorHAnsi" w:cstheme="minorBidi"/>
          <w:smallCaps w:val="0"/>
          <w:szCs w:val="22"/>
        </w:rPr>
      </w:pPr>
      <w:hyperlink w:anchor="_Toc20148421" w:history="1">
        <w:r w:rsidR="00487553" w:rsidRPr="00981BD2">
          <w:rPr>
            <w:rStyle w:val="af2"/>
            <w:rFonts w:asciiTheme="minorEastAsia" w:hAnsiTheme="minorEastAsia" w:hint="eastAsia"/>
          </w:rPr>
          <w:t>十一、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衍生品投资的风险管理与决策流程</w:t>
        </w:r>
        <w:r w:rsidR="00487553">
          <w:rPr>
            <w:webHidden/>
          </w:rPr>
          <w:tab/>
        </w:r>
        <w:r w:rsidR="00487553">
          <w:rPr>
            <w:webHidden/>
          </w:rPr>
          <w:fldChar w:fldCharType="begin"/>
        </w:r>
        <w:r w:rsidR="00487553">
          <w:rPr>
            <w:webHidden/>
          </w:rPr>
          <w:instrText xml:space="preserve"> PAGEREF _Toc20148421 \h </w:instrText>
        </w:r>
        <w:r w:rsidR="00487553">
          <w:rPr>
            <w:webHidden/>
          </w:rPr>
        </w:r>
        <w:r w:rsidR="00487553">
          <w:rPr>
            <w:webHidden/>
          </w:rPr>
          <w:fldChar w:fldCharType="separate"/>
        </w:r>
        <w:r w:rsidR="00A0463E">
          <w:rPr>
            <w:webHidden/>
          </w:rPr>
          <w:t>14</w:t>
        </w:r>
        <w:r w:rsidR="00487553">
          <w:rPr>
            <w:webHidden/>
          </w:rPr>
          <w:fldChar w:fldCharType="end"/>
        </w:r>
      </w:hyperlink>
    </w:p>
    <w:p w14:paraId="0482CB3D" w14:textId="77777777" w:rsidR="00487553" w:rsidRDefault="00E51D7B">
      <w:pPr>
        <w:pStyle w:val="20"/>
        <w:rPr>
          <w:rFonts w:asciiTheme="minorHAnsi" w:eastAsiaTheme="minorEastAsia" w:hAnsiTheme="minorHAnsi" w:cstheme="minorBidi"/>
          <w:smallCaps w:val="0"/>
          <w:szCs w:val="22"/>
        </w:rPr>
      </w:pPr>
      <w:hyperlink w:anchor="_Toc20148422" w:history="1">
        <w:r w:rsidR="00487553" w:rsidRPr="00981BD2">
          <w:rPr>
            <w:rStyle w:val="af2"/>
            <w:rFonts w:asciiTheme="minorEastAsia" w:hAnsiTheme="minorEastAsia" w:hint="eastAsia"/>
          </w:rPr>
          <w:t>十二、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代理投票</w:t>
        </w:r>
        <w:r w:rsidR="00487553">
          <w:rPr>
            <w:webHidden/>
          </w:rPr>
          <w:tab/>
        </w:r>
        <w:r w:rsidR="00487553">
          <w:rPr>
            <w:webHidden/>
          </w:rPr>
          <w:fldChar w:fldCharType="begin"/>
        </w:r>
        <w:r w:rsidR="00487553">
          <w:rPr>
            <w:webHidden/>
          </w:rPr>
          <w:instrText xml:space="preserve"> PAGEREF _Toc20148422 \h </w:instrText>
        </w:r>
        <w:r w:rsidR="00487553">
          <w:rPr>
            <w:webHidden/>
          </w:rPr>
        </w:r>
        <w:r w:rsidR="00487553">
          <w:rPr>
            <w:webHidden/>
          </w:rPr>
          <w:fldChar w:fldCharType="separate"/>
        </w:r>
        <w:r w:rsidR="00A0463E">
          <w:rPr>
            <w:webHidden/>
          </w:rPr>
          <w:t>14</w:t>
        </w:r>
        <w:r w:rsidR="00487553">
          <w:rPr>
            <w:webHidden/>
          </w:rPr>
          <w:fldChar w:fldCharType="end"/>
        </w:r>
      </w:hyperlink>
    </w:p>
    <w:p w14:paraId="28BB8840" w14:textId="77777777" w:rsidR="00487553" w:rsidRDefault="00E51D7B">
      <w:pPr>
        <w:pStyle w:val="20"/>
        <w:rPr>
          <w:rFonts w:asciiTheme="minorHAnsi" w:eastAsiaTheme="minorEastAsia" w:hAnsiTheme="minorHAnsi" w:cstheme="minorBidi"/>
          <w:smallCaps w:val="0"/>
          <w:szCs w:val="22"/>
        </w:rPr>
      </w:pPr>
      <w:hyperlink w:anchor="_Toc20148423" w:history="1">
        <w:r w:rsidR="00487553" w:rsidRPr="00981BD2">
          <w:rPr>
            <w:rStyle w:val="af2"/>
            <w:rFonts w:asciiTheme="minorEastAsia" w:hAnsiTheme="minorEastAsia" w:hint="eastAsia"/>
          </w:rPr>
          <w:t>十三、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证券交易管理</w:t>
        </w:r>
        <w:r w:rsidR="00487553">
          <w:rPr>
            <w:webHidden/>
          </w:rPr>
          <w:tab/>
        </w:r>
        <w:r w:rsidR="00487553">
          <w:rPr>
            <w:webHidden/>
          </w:rPr>
          <w:fldChar w:fldCharType="begin"/>
        </w:r>
        <w:r w:rsidR="00487553">
          <w:rPr>
            <w:webHidden/>
          </w:rPr>
          <w:instrText xml:space="preserve"> PAGEREF _Toc20148423 \h </w:instrText>
        </w:r>
        <w:r w:rsidR="00487553">
          <w:rPr>
            <w:webHidden/>
          </w:rPr>
        </w:r>
        <w:r w:rsidR="00487553">
          <w:rPr>
            <w:webHidden/>
          </w:rPr>
          <w:fldChar w:fldCharType="separate"/>
        </w:r>
        <w:r w:rsidR="00A0463E">
          <w:rPr>
            <w:webHidden/>
          </w:rPr>
          <w:t>15</w:t>
        </w:r>
        <w:r w:rsidR="00487553">
          <w:rPr>
            <w:webHidden/>
          </w:rPr>
          <w:fldChar w:fldCharType="end"/>
        </w:r>
      </w:hyperlink>
    </w:p>
    <w:p w14:paraId="3D66D5B8" w14:textId="77777777" w:rsidR="00487553" w:rsidRDefault="00E51D7B">
      <w:pPr>
        <w:pStyle w:val="20"/>
        <w:rPr>
          <w:rFonts w:asciiTheme="minorHAnsi" w:eastAsiaTheme="minorEastAsia" w:hAnsiTheme="minorHAnsi" w:cstheme="minorBidi"/>
          <w:smallCaps w:val="0"/>
          <w:szCs w:val="22"/>
        </w:rPr>
      </w:pPr>
      <w:hyperlink w:anchor="_Toc20148424" w:history="1">
        <w:r w:rsidR="00487553" w:rsidRPr="00981BD2">
          <w:rPr>
            <w:rStyle w:val="af2"/>
            <w:rFonts w:asciiTheme="minorEastAsia" w:hAnsiTheme="minorEastAsia" w:hint="eastAsia"/>
          </w:rPr>
          <w:t>十四、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基金投资组合报告</w:t>
        </w:r>
        <w:r w:rsidR="00487553" w:rsidRPr="00981BD2">
          <w:rPr>
            <w:rStyle w:val="af2"/>
            <w:rFonts w:asciiTheme="minorEastAsia" w:hAnsiTheme="minorEastAsia"/>
          </w:rPr>
          <w:t>(</w:t>
        </w:r>
        <w:r w:rsidR="00487553" w:rsidRPr="00981BD2">
          <w:rPr>
            <w:rStyle w:val="af2"/>
            <w:rFonts w:asciiTheme="minorEastAsia" w:hAnsiTheme="minorEastAsia" w:hint="eastAsia"/>
          </w:rPr>
          <w:t>未经审计</w:t>
        </w:r>
        <w:r w:rsidR="00487553" w:rsidRPr="00981BD2">
          <w:rPr>
            <w:rStyle w:val="af2"/>
            <w:rFonts w:asciiTheme="minorEastAsia" w:hAnsiTheme="minorEastAsia"/>
          </w:rPr>
          <w:t>)</w:t>
        </w:r>
        <w:r w:rsidR="00487553">
          <w:rPr>
            <w:webHidden/>
          </w:rPr>
          <w:tab/>
        </w:r>
        <w:r w:rsidR="00487553">
          <w:rPr>
            <w:webHidden/>
          </w:rPr>
          <w:fldChar w:fldCharType="begin"/>
        </w:r>
        <w:r w:rsidR="00487553">
          <w:rPr>
            <w:webHidden/>
          </w:rPr>
          <w:instrText xml:space="preserve"> PAGEREF _Toc20148424 \h </w:instrText>
        </w:r>
        <w:r w:rsidR="00487553">
          <w:rPr>
            <w:webHidden/>
          </w:rPr>
        </w:r>
        <w:r w:rsidR="00487553">
          <w:rPr>
            <w:webHidden/>
          </w:rPr>
          <w:fldChar w:fldCharType="separate"/>
        </w:r>
        <w:r w:rsidR="00A0463E">
          <w:rPr>
            <w:webHidden/>
          </w:rPr>
          <w:t>15</w:t>
        </w:r>
        <w:r w:rsidR="00487553">
          <w:rPr>
            <w:webHidden/>
          </w:rPr>
          <w:fldChar w:fldCharType="end"/>
        </w:r>
      </w:hyperlink>
    </w:p>
    <w:p w14:paraId="2D21BED9"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25" w:history="1">
        <w:r w:rsidR="00487553" w:rsidRPr="00981BD2">
          <w:rPr>
            <w:rStyle w:val="af2"/>
            <w:rFonts w:asciiTheme="minorEastAsia" w:hAnsiTheme="minorEastAsia" w:hint="eastAsia"/>
          </w:rPr>
          <w:t>第五节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基金的业绩</w:t>
        </w:r>
        <w:r w:rsidR="00487553">
          <w:rPr>
            <w:webHidden/>
          </w:rPr>
          <w:tab/>
        </w:r>
        <w:r w:rsidR="00487553">
          <w:rPr>
            <w:webHidden/>
          </w:rPr>
          <w:fldChar w:fldCharType="begin"/>
        </w:r>
        <w:r w:rsidR="00487553">
          <w:rPr>
            <w:webHidden/>
          </w:rPr>
          <w:instrText xml:space="preserve"> PAGEREF _Toc20148425 \h </w:instrText>
        </w:r>
        <w:r w:rsidR="00487553">
          <w:rPr>
            <w:webHidden/>
          </w:rPr>
        </w:r>
        <w:r w:rsidR="00487553">
          <w:rPr>
            <w:webHidden/>
          </w:rPr>
          <w:fldChar w:fldCharType="separate"/>
        </w:r>
        <w:r w:rsidR="00A0463E">
          <w:rPr>
            <w:webHidden/>
          </w:rPr>
          <w:t>19</w:t>
        </w:r>
        <w:r w:rsidR="00487553">
          <w:rPr>
            <w:webHidden/>
          </w:rPr>
          <w:fldChar w:fldCharType="end"/>
        </w:r>
      </w:hyperlink>
    </w:p>
    <w:p w14:paraId="02A35DDB"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26" w:history="1">
        <w:r w:rsidR="00487553" w:rsidRPr="00981BD2">
          <w:rPr>
            <w:rStyle w:val="af2"/>
            <w:rFonts w:asciiTheme="minorEastAsia" w:hAnsiTheme="minorEastAsia" w:hint="eastAsia"/>
          </w:rPr>
          <w:t>第六节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基金管理人</w:t>
        </w:r>
        <w:r w:rsidR="00487553">
          <w:rPr>
            <w:webHidden/>
          </w:rPr>
          <w:tab/>
        </w:r>
        <w:r w:rsidR="00487553">
          <w:rPr>
            <w:webHidden/>
          </w:rPr>
          <w:fldChar w:fldCharType="begin"/>
        </w:r>
        <w:r w:rsidR="00487553">
          <w:rPr>
            <w:webHidden/>
          </w:rPr>
          <w:instrText xml:space="preserve"> PAGEREF _Toc20148426 \h </w:instrText>
        </w:r>
        <w:r w:rsidR="00487553">
          <w:rPr>
            <w:webHidden/>
          </w:rPr>
        </w:r>
        <w:r w:rsidR="00487553">
          <w:rPr>
            <w:webHidden/>
          </w:rPr>
          <w:fldChar w:fldCharType="separate"/>
        </w:r>
        <w:r w:rsidR="00A0463E">
          <w:rPr>
            <w:webHidden/>
          </w:rPr>
          <w:t>21</w:t>
        </w:r>
        <w:r w:rsidR="00487553">
          <w:rPr>
            <w:webHidden/>
          </w:rPr>
          <w:fldChar w:fldCharType="end"/>
        </w:r>
      </w:hyperlink>
    </w:p>
    <w:p w14:paraId="505457ED" w14:textId="77777777" w:rsidR="00487553" w:rsidRDefault="00E51D7B">
      <w:pPr>
        <w:pStyle w:val="20"/>
        <w:rPr>
          <w:rFonts w:asciiTheme="minorHAnsi" w:eastAsiaTheme="minorEastAsia" w:hAnsiTheme="minorHAnsi" w:cstheme="minorBidi"/>
          <w:smallCaps w:val="0"/>
          <w:szCs w:val="22"/>
        </w:rPr>
      </w:pPr>
      <w:hyperlink w:anchor="_Toc20148427"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基金管理人基本情况</w:t>
        </w:r>
        <w:r w:rsidR="00487553">
          <w:rPr>
            <w:webHidden/>
          </w:rPr>
          <w:tab/>
        </w:r>
        <w:r w:rsidR="00487553">
          <w:rPr>
            <w:webHidden/>
          </w:rPr>
          <w:fldChar w:fldCharType="begin"/>
        </w:r>
        <w:r w:rsidR="00487553">
          <w:rPr>
            <w:webHidden/>
          </w:rPr>
          <w:instrText xml:space="preserve"> PAGEREF _Toc20148427 \h </w:instrText>
        </w:r>
        <w:r w:rsidR="00487553">
          <w:rPr>
            <w:webHidden/>
          </w:rPr>
        </w:r>
        <w:r w:rsidR="00487553">
          <w:rPr>
            <w:webHidden/>
          </w:rPr>
          <w:fldChar w:fldCharType="separate"/>
        </w:r>
        <w:r w:rsidR="00A0463E">
          <w:rPr>
            <w:webHidden/>
          </w:rPr>
          <w:t>21</w:t>
        </w:r>
        <w:r w:rsidR="00487553">
          <w:rPr>
            <w:webHidden/>
          </w:rPr>
          <w:fldChar w:fldCharType="end"/>
        </w:r>
      </w:hyperlink>
    </w:p>
    <w:p w14:paraId="4EBDEFDF" w14:textId="77777777" w:rsidR="00487553" w:rsidRDefault="00E51D7B">
      <w:pPr>
        <w:pStyle w:val="20"/>
        <w:rPr>
          <w:rFonts w:asciiTheme="minorHAnsi" w:eastAsiaTheme="minorEastAsia" w:hAnsiTheme="minorHAnsi" w:cstheme="minorBidi"/>
          <w:smallCaps w:val="0"/>
          <w:szCs w:val="22"/>
        </w:rPr>
      </w:pPr>
      <w:hyperlink w:anchor="_Toc20148428"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主要人员情况</w:t>
        </w:r>
        <w:r w:rsidR="00487553">
          <w:rPr>
            <w:webHidden/>
          </w:rPr>
          <w:tab/>
        </w:r>
        <w:r w:rsidR="00487553">
          <w:rPr>
            <w:webHidden/>
          </w:rPr>
          <w:fldChar w:fldCharType="begin"/>
        </w:r>
        <w:r w:rsidR="00487553">
          <w:rPr>
            <w:webHidden/>
          </w:rPr>
          <w:instrText xml:space="preserve"> PAGEREF _Toc20148428 \h </w:instrText>
        </w:r>
        <w:r w:rsidR="00487553">
          <w:rPr>
            <w:webHidden/>
          </w:rPr>
        </w:r>
        <w:r w:rsidR="00487553">
          <w:rPr>
            <w:webHidden/>
          </w:rPr>
          <w:fldChar w:fldCharType="separate"/>
        </w:r>
        <w:r w:rsidR="00A0463E">
          <w:rPr>
            <w:webHidden/>
          </w:rPr>
          <w:t>21</w:t>
        </w:r>
        <w:r w:rsidR="00487553">
          <w:rPr>
            <w:webHidden/>
          </w:rPr>
          <w:fldChar w:fldCharType="end"/>
        </w:r>
      </w:hyperlink>
    </w:p>
    <w:p w14:paraId="67A82782" w14:textId="77777777" w:rsidR="00487553" w:rsidRDefault="00E51D7B">
      <w:pPr>
        <w:pStyle w:val="20"/>
        <w:rPr>
          <w:rFonts w:asciiTheme="minorHAnsi" w:eastAsiaTheme="minorEastAsia" w:hAnsiTheme="minorHAnsi" w:cstheme="minorBidi"/>
          <w:smallCaps w:val="0"/>
          <w:szCs w:val="22"/>
        </w:rPr>
      </w:pPr>
      <w:hyperlink w:anchor="_Toc20148429"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基金管理人的职责</w:t>
        </w:r>
        <w:r w:rsidR="00487553">
          <w:rPr>
            <w:webHidden/>
          </w:rPr>
          <w:tab/>
        </w:r>
        <w:r w:rsidR="00487553">
          <w:rPr>
            <w:webHidden/>
          </w:rPr>
          <w:fldChar w:fldCharType="begin"/>
        </w:r>
        <w:r w:rsidR="00487553">
          <w:rPr>
            <w:webHidden/>
          </w:rPr>
          <w:instrText xml:space="preserve"> PAGEREF _Toc20148429 \h </w:instrText>
        </w:r>
        <w:r w:rsidR="00487553">
          <w:rPr>
            <w:webHidden/>
          </w:rPr>
        </w:r>
        <w:r w:rsidR="00487553">
          <w:rPr>
            <w:webHidden/>
          </w:rPr>
          <w:fldChar w:fldCharType="separate"/>
        </w:r>
        <w:r w:rsidR="00A0463E">
          <w:rPr>
            <w:webHidden/>
          </w:rPr>
          <w:t>27</w:t>
        </w:r>
        <w:r w:rsidR="00487553">
          <w:rPr>
            <w:webHidden/>
          </w:rPr>
          <w:fldChar w:fldCharType="end"/>
        </w:r>
      </w:hyperlink>
    </w:p>
    <w:p w14:paraId="39009CD7" w14:textId="77777777" w:rsidR="00487553" w:rsidRDefault="00E51D7B">
      <w:pPr>
        <w:pStyle w:val="20"/>
        <w:rPr>
          <w:rFonts w:asciiTheme="minorHAnsi" w:eastAsiaTheme="minorEastAsia" w:hAnsiTheme="minorHAnsi" w:cstheme="minorBidi"/>
          <w:smallCaps w:val="0"/>
          <w:szCs w:val="22"/>
        </w:rPr>
      </w:pPr>
      <w:hyperlink w:anchor="_Toc20148430"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基金管理人的承诺</w:t>
        </w:r>
        <w:r w:rsidR="00487553">
          <w:rPr>
            <w:webHidden/>
          </w:rPr>
          <w:tab/>
        </w:r>
        <w:r w:rsidR="00487553">
          <w:rPr>
            <w:webHidden/>
          </w:rPr>
          <w:fldChar w:fldCharType="begin"/>
        </w:r>
        <w:r w:rsidR="00487553">
          <w:rPr>
            <w:webHidden/>
          </w:rPr>
          <w:instrText xml:space="preserve"> PAGEREF _Toc20148430 \h </w:instrText>
        </w:r>
        <w:r w:rsidR="00487553">
          <w:rPr>
            <w:webHidden/>
          </w:rPr>
        </w:r>
        <w:r w:rsidR="00487553">
          <w:rPr>
            <w:webHidden/>
          </w:rPr>
          <w:fldChar w:fldCharType="separate"/>
        </w:r>
        <w:r w:rsidR="00A0463E">
          <w:rPr>
            <w:webHidden/>
          </w:rPr>
          <w:t>27</w:t>
        </w:r>
        <w:r w:rsidR="00487553">
          <w:rPr>
            <w:webHidden/>
          </w:rPr>
          <w:fldChar w:fldCharType="end"/>
        </w:r>
      </w:hyperlink>
    </w:p>
    <w:p w14:paraId="678DAC2F" w14:textId="77777777" w:rsidR="00487553" w:rsidRDefault="00E51D7B">
      <w:pPr>
        <w:pStyle w:val="20"/>
        <w:rPr>
          <w:rFonts w:asciiTheme="minorHAnsi" w:eastAsiaTheme="minorEastAsia" w:hAnsiTheme="minorHAnsi" w:cstheme="minorBidi"/>
          <w:smallCaps w:val="0"/>
          <w:szCs w:val="22"/>
        </w:rPr>
      </w:pPr>
      <w:hyperlink w:anchor="_Toc20148431"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基金管理人的内部控制制度</w:t>
        </w:r>
        <w:r w:rsidR="00487553">
          <w:rPr>
            <w:webHidden/>
          </w:rPr>
          <w:tab/>
        </w:r>
        <w:r w:rsidR="00487553">
          <w:rPr>
            <w:webHidden/>
          </w:rPr>
          <w:fldChar w:fldCharType="begin"/>
        </w:r>
        <w:r w:rsidR="00487553">
          <w:rPr>
            <w:webHidden/>
          </w:rPr>
          <w:instrText xml:space="preserve"> PAGEREF _Toc20148431 \h </w:instrText>
        </w:r>
        <w:r w:rsidR="00487553">
          <w:rPr>
            <w:webHidden/>
          </w:rPr>
        </w:r>
        <w:r w:rsidR="00487553">
          <w:rPr>
            <w:webHidden/>
          </w:rPr>
          <w:fldChar w:fldCharType="separate"/>
        </w:r>
        <w:r w:rsidR="00A0463E">
          <w:rPr>
            <w:webHidden/>
          </w:rPr>
          <w:t>29</w:t>
        </w:r>
        <w:r w:rsidR="00487553">
          <w:rPr>
            <w:webHidden/>
          </w:rPr>
          <w:fldChar w:fldCharType="end"/>
        </w:r>
      </w:hyperlink>
    </w:p>
    <w:p w14:paraId="41137D3D"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32" w:history="1">
        <w:r w:rsidR="00487553" w:rsidRPr="00981BD2">
          <w:rPr>
            <w:rStyle w:val="af2"/>
            <w:rFonts w:asciiTheme="minorEastAsia" w:hAnsiTheme="minorEastAsia" w:hint="eastAsia"/>
          </w:rPr>
          <w:t>第七节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基金份额类别</w:t>
        </w:r>
        <w:r w:rsidR="00487553">
          <w:rPr>
            <w:webHidden/>
          </w:rPr>
          <w:tab/>
        </w:r>
        <w:r w:rsidR="00487553">
          <w:rPr>
            <w:webHidden/>
          </w:rPr>
          <w:fldChar w:fldCharType="begin"/>
        </w:r>
        <w:r w:rsidR="00487553">
          <w:rPr>
            <w:webHidden/>
          </w:rPr>
          <w:instrText xml:space="preserve"> PAGEREF _Toc20148432 \h </w:instrText>
        </w:r>
        <w:r w:rsidR="00487553">
          <w:rPr>
            <w:webHidden/>
          </w:rPr>
        </w:r>
        <w:r w:rsidR="00487553">
          <w:rPr>
            <w:webHidden/>
          </w:rPr>
          <w:fldChar w:fldCharType="separate"/>
        </w:r>
        <w:r w:rsidR="00A0463E">
          <w:rPr>
            <w:webHidden/>
          </w:rPr>
          <w:t>32</w:t>
        </w:r>
        <w:r w:rsidR="00487553">
          <w:rPr>
            <w:webHidden/>
          </w:rPr>
          <w:fldChar w:fldCharType="end"/>
        </w:r>
      </w:hyperlink>
    </w:p>
    <w:p w14:paraId="23B851CC"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33" w:history="1">
        <w:r w:rsidR="00487553" w:rsidRPr="00981BD2">
          <w:rPr>
            <w:rStyle w:val="af2"/>
            <w:rFonts w:asciiTheme="minorEastAsia" w:hAnsiTheme="minorEastAsia" w:hint="eastAsia"/>
          </w:rPr>
          <w:t>第八节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基金的募集</w:t>
        </w:r>
        <w:r w:rsidR="00487553">
          <w:rPr>
            <w:webHidden/>
          </w:rPr>
          <w:tab/>
        </w:r>
        <w:r w:rsidR="00487553">
          <w:rPr>
            <w:webHidden/>
          </w:rPr>
          <w:fldChar w:fldCharType="begin"/>
        </w:r>
        <w:r w:rsidR="00487553">
          <w:rPr>
            <w:webHidden/>
          </w:rPr>
          <w:instrText xml:space="preserve"> PAGEREF _Toc20148433 \h </w:instrText>
        </w:r>
        <w:r w:rsidR="00487553">
          <w:rPr>
            <w:webHidden/>
          </w:rPr>
        </w:r>
        <w:r w:rsidR="00487553">
          <w:rPr>
            <w:webHidden/>
          </w:rPr>
          <w:fldChar w:fldCharType="separate"/>
        </w:r>
        <w:r w:rsidR="00A0463E">
          <w:rPr>
            <w:webHidden/>
          </w:rPr>
          <w:t>33</w:t>
        </w:r>
        <w:r w:rsidR="00487553">
          <w:rPr>
            <w:webHidden/>
          </w:rPr>
          <w:fldChar w:fldCharType="end"/>
        </w:r>
      </w:hyperlink>
    </w:p>
    <w:p w14:paraId="7126C145"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34" w:history="1">
        <w:r w:rsidR="00487553" w:rsidRPr="00981BD2">
          <w:rPr>
            <w:rStyle w:val="af2"/>
            <w:rFonts w:asciiTheme="minorEastAsia" w:hAnsiTheme="minorEastAsia" w:hint="eastAsia"/>
          </w:rPr>
          <w:t>第九节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基金合同的生效</w:t>
        </w:r>
        <w:r w:rsidR="00487553">
          <w:rPr>
            <w:webHidden/>
          </w:rPr>
          <w:tab/>
        </w:r>
        <w:r w:rsidR="00487553">
          <w:rPr>
            <w:webHidden/>
          </w:rPr>
          <w:fldChar w:fldCharType="begin"/>
        </w:r>
        <w:r w:rsidR="00487553">
          <w:rPr>
            <w:webHidden/>
          </w:rPr>
          <w:instrText xml:space="preserve"> PAGEREF _Toc20148434 \h </w:instrText>
        </w:r>
        <w:r w:rsidR="00487553">
          <w:rPr>
            <w:webHidden/>
          </w:rPr>
        </w:r>
        <w:r w:rsidR="00487553">
          <w:rPr>
            <w:webHidden/>
          </w:rPr>
          <w:fldChar w:fldCharType="separate"/>
        </w:r>
        <w:r w:rsidR="00A0463E">
          <w:rPr>
            <w:webHidden/>
          </w:rPr>
          <w:t>34</w:t>
        </w:r>
        <w:r w:rsidR="00487553">
          <w:rPr>
            <w:webHidden/>
          </w:rPr>
          <w:fldChar w:fldCharType="end"/>
        </w:r>
      </w:hyperlink>
    </w:p>
    <w:p w14:paraId="76D15CD0" w14:textId="77777777" w:rsidR="00487553" w:rsidRDefault="00E51D7B">
      <w:pPr>
        <w:pStyle w:val="20"/>
        <w:rPr>
          <w:rFonts w:asciiTheme="minorHAnsi" w:eastAsiaTheme="minorEastAsia" w:hAnsiTheme="minorHAnsi" w:cstheme="minorBidi"/>
          <w:smallCaps w:val="0"/>
          <w:szCs w:val="22"/>
        </w:rPr>
      </w:pPr>
      <w:hyperlink w:anchor="_Toc20148435" w:history="1">
        <w:r w:rsidR="00487553" w:rsidRPr="00981BD2">
          <w:rPr>
            <w:rStyle w:val="af2"/>
            <w:rFonts w:asciiTheme="minorEastAsia" w:hAnsiTheme="minorEastAsia" w:hint="eastAsia"/>
            <w:bCs/>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基金合同的生效</w:t>
        </w:r>
        <w:r w:rsidR="00487553">
          <w:rPr>
            <w:webHidden/>
          </w:rPr>
          <w:tab/>
        </w:r>
        <w:r w:rsidR="00487553">
          <w:rPr>
            <w:webHidden/>
          </w:rPr>
          <w:fldChar w:fldCharType="begin"/>
        </w:r>
        <w:r w:rsidR="00487553">
          <w:rPr>
            <w:webHidden/>
          </w:rPr>
          <w:instrText xml:space="preserve"> PAGEREF _Toc20148435 \h </w:instrText>
        </w:r>
        <w:r w:rsidR="00487553">
          <w:rPr>
            <w:webHidden/>
          </w:rPr>
        </w:r>
        <w:r w:rsidR="00487553">
          <w:rPr>
            <w:webHidden/>
          </w:rPr>
          <w:fldChar w:fldCharType="separate"/>
        </w:r>
        <w:r w:rsidR="00A0463E">
          <w:rPr>
            <w:webHidden/>
          </w:rPr>
          <w:t>34</w:t>
        </w:r>
        <w:r w:rsidR="00487553">
          <w:rPr>
            <w:webHidden/>
          </w:rPr>
          <w:fldChar w:fldCharType="end"/>
        </w:r>
      </w:hyperlink>
    </w:p>
    <w:p w14:paraId="58E2955E" w14:textId="77777777" w:rsidR="00487553" w:rsidRDefault="00E51D7B">
      <w:pPr>
        <w:pStyle w:val="20"/>
        <w:rPr>
          <w:rFonts w:asciiTheme="minorHAnsi" w:eastAsiaTheme="minorEastAsia" w:hAnsiTheme="minorHAnsi" w:cstheme="minorBidi"/>
          <w:smallCaps w:val="0"/>
          <w:szCs w:val="22"/>
        </w:rPr>
      </w:pPr>
      <w:hyperlink w:anchor="_Toc20148436" w:history="1">
        <w:r w:rsidR="00487553" w:rsidRPr="00981BD2">
          <w:rPr>
            <w:rStyle w:val="af2"/>
            <w:rFonts w:asciiTheme="minorEastAsia" w:hAnsiTheme="minorEastAsia" w:hint="eastAsia"/>
            <w:bCs/>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基金存续期内的基金份额持有人数量和资产规模</w:t>
        </w:r>
        <w:r w:rsidR="00487553">
          <w:rPr>
            <w:webHidden/>
          </w:rPr>
          <w:tab/>
        </w:r>
        <w:r w:rsidR="00487553">
          <w:rPr>
            <w:webHidden/>
          </w:rPr>
          <w:fldChar w:fldCharType="begin"/>
        </w:r>
        <w:r w:rsidR="00487553">
          <w:rPr>
            <w:webHidden/>
          </w:rPr>
          <w:instrText xml:space="preserve"> PAGEREF _Toc20148436 \h </w:instrText>
        </w:r>
        <w:r w:rsidR="00487553">
          <w:rPr>
            <w:webHidden/>
          </w:rPr>
        </w:r>
        <w:r w:rsidR="00487553">
          <w:rPr>
            <w:webHidden/>
          </w:rPr>
          <w:fldChar w:fldCharType="separate"/>
        </w:r>
        <w:r w:rsidR="00A0463E">
          <w:rPr>
            <w:webHidden/>
          </w:rPr>
          <w:t>34</w:t>
        </w:r>
        <w:r w:rsidR="00487553">
          <w:rPr>
            <w:webHidden/>
          </w:rPr>
          <w:fldChar w:fldCharType="end"/>
        </w:r>
      </w:hyperlink>
    </w:p>
    <w:p w14:paraId="07891018"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37" w:history="1">
        <w:r w:rsidR="00487553" w:rsidRPr="00981BD2">
          <w:rPr>
            <w:rStyle w:val="af2"/>
            <w:rFonts w:asciiTheme="minorEastAsia" w:hAnsiTheme="minorEastAsia" w:hint="eastAsia"/>
          </w:rPr>
          <w:t>第十节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基金份额的申购、赎回</w:t>
        </w:r>
        <w:r w:rsidR="00487553">
          <w:rPr>
            <w:webHidden/>
          </w:rPr>
          <w:tab/>
        </w:r>
        <w:r w:rsidR="00487553">
          <w:rPr>
            <w:webHidden/>
          </w:rPr>
          <w:fldChar w:fldCharType="begin"/>
        </w:r>
        <w:r w:rsidR="00487553">
          <w:rPr>
            <w:webHidden/>
          </w:rPr>
          <w:instrText xml:space="preserve"> PAGEREF _Toc20148437 \h </w:instrText>
        </w:r>
        <w:r w:rsidR="00487553">
          <w:rPr>
            <w:webHidden/>
          </w:rPr>
        </w:r>
        <w:r w:rsidR="00487553">
          <w:rPr>
            <w:webHidden/>
          </w:rPr>
          <w:fldChar w:fldCharType="separate"/>
        </w:r>
        <w:r w:rsidR="00A0463E">
          <w:rPr>
            <w:webHidden/>
          </w:rPr>
          <w:t>35</w:t>
        </w:r>
        <w:r w:rsidR="00487553">
          <w:rPr>
            <w:webHidden/>
          </w:rPr>
          <w:fldChar w:fldCharType="end"/>
        </w:r>
      </w:hyperlink>
    </w:p>
    <w:p w14:paraId="303B0D23" w14:textId="77777777" w:rsidR="00487553" w:rsidRDefault="00E51D7B">
      <w:pPr>
        <w:pStyle w:val="20"/>
        <w:rPr>
          <w:rFonts w:asciiTheme="minorHAnsi" w:eastAsiaTheme="minorEastAsia" w:hAnsiTheme="minorHAnsi" w:cstheme="minorBidi"/>
          <w:smallCaps w:val="0"/>
          <w:szCs w:val="22"/>
        </w:rPr>
      </w:pPr>
      <w:hyperlink w:anchor="_Toc20148438" w:history="1">
        <w:r w:rsidR="00487553" w:rsidRPr="00981BD2">
          <w:rPr>
            <w:rStyle w:val="af2"/>
            <w:rFonts w:asciiTheme="minorEastAsia" w:hAnsiTheme="minorEastAsia" w:hint="eastAsia"/>
            <w:bCs/>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基金投资者范围</w:t>
        </w:r>
        <w:r w:rsidR="00487553">
          <w:rPr>
            <w:webHidden/>
          </w:rPr>
          <w:tab/>
        </w:r>
        <w:r w:rsidR="00487553">
          <w:rPr>
            <w:webHidden/>
          </w:rPr>
          <w:fldChar w:fldCharType="begin"/>
        </w:r>
        <w:r w:rsidR="00487553">
          <w:rPr>
            <w:webHidden/>
          </w:rPr>
          <w:instrText xml:space="preserve"> PAGEREF _Toc20148438 \h </w:instrText>
        </w:r>
        <w:r w:rsidR="00487553">
          <w:rPr>
            <w:webHidden/>
          </w:rPr>
        </w:r>
        <w:r w:rsidR="00487553">
          <w:rPr>
            <w:webHidden/>
          </w:rPr>
          <w:fldChar w:fldCharType="separate"/>
        </w:r>
        <w:r w:rsidR="00A0463E">
          <w:rPr>
            <w:webHidden/>
          </w:rPr>
          <w:t>35</w:t>
        </w:r>
        <w:r w:rsidR="00487553">
          <w:rPr>
            <w:webHidden/>
          </w:rPr>
          <w:fldChar w:fldCharType="end"/>
        </w:r>
      </w:hyperlink>
    </w:p>
    <w:p w14:paraId="6473B5D4" w14:textId="77777777" w:rsidR="00487553" w:rsidRDefault="00E51D7B">
      <w:pPr>
        <w:pStyle w:val="20"/>
        <w:rPr>
          <w:rFonts w:asciiTheme="minorHAnsi" w:eastAsiaTheme="minorEastAsia" w:hAnsiTheme="minorHAnsi" w:cstheme="minorBidi"/>
          <w:smallCaps w:val="0"/>
          <w:szCs w:val="22"/>
        </w:rPr>
      </w:pPr>
      <w:hyperlink w:anchor="_Toc20148439" w:history="1">
        <w:r w:rsidR="00487553" w:rsidRPr="00981BD2">
          <w:rPr>
            <w:rStyle w:val="af2"/>
            <w:rFonts w:asciiTheme="minorEastAsia" w:hAnsiTheme="minorEastAsia" w:hint="eastAsia"/>
            <w:bCs/>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申购与赎回的场所</w:t>
        </w:r>
        <w:r w:rsidR="00487553">
          <w:rPr>
            <w:webHidden/>
          </w:rPr>
          <w:tab/>
        </w:r>
        <w:r w:rsidR="00487553">
          <w:rPr>
            <w:webHidden/>
          </w:rPr>
          <w:fldChar w:fldCharType="begin"/>
        </w:r>
        <w:r w:rsidR="00487553">
          <w:rPr>
            <w:webHidden/>
          </w:rPr>
          <w:instrText xml:space="preserve"> PAGEREF _Toc20148439 \h </w:instrText>
        </w:r>
        <w:r w:rsidR="00487553">
          <w:rPr>
            <w:webHidden/>
          </w:rPr>
        </w:r>
        <w:r w:rsidR="00487553">
          <w:rPr>
            <w:webHidden/>
          </w:rPr>
          <w:fldChar w:fldCharType="separate"/>
        </w:r>
        <w:r w:rsidR="00A0463E">
          <w:rPr>
            <w:webHidden/>
          </w:rPr>
          <w:t>35</w:t>
        </w:r>
        <w:r w:rsidR="00487553">
          <w:rPr>
            <w:webHidden/>
          </w:rPr>
          <w:fldChar w:fldCharType="end"/>
        </w:r>
      </w:hyperlink>
    </w:p>
    <w:p w14:paraId="4613761C" w14:textId="77777777" w:rsidR="00487553" w:rsidRDefault="00E51D7B">
      <w:pPr>
        <w:pStyle w:val="20"/>
        <w:rPr>
          <w:rFonts w:asciiTheme="minorHAnsi" w:eastAsiaTheme="minorEastAsia" w:hAnsiTheme="minorHAnsi" w:cstheme="minorBidi"/>
          <w:smallCaps w:val="0"/>
          <w:szCs w:val="22"/>
        </w:rPr>
      </w:pPr>
      <w:hyperlink w:anchor="_Toc20148440" w:history="1">
        <w:r w:rsidR="00487553" w:rsidRPr="00981BD2">
          <w:rPr>
            <w:rStyle w:val="af2"/>
            <w:rFonts w:asciiTheme="minorEastAsia" w:hAnsiTheme="minorEastAsia" w:hint="eastAsia"/>
            <w:bCs/>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申购和赎回的开放日及时间</w:t>
        </w:r>
        <w:r w:rsidR="00487553">
          <w:rPr>
            <w:webHidden/>
          </w:rPr>
          <w:tab/>
        </w:r>
        <w:r w:rsidR="00487553">
          <w:rPr>
            <w:webHidden/>
          </w:rPr>
          <w:fldChar w:fldCharType="begin"/>
        </w:r>
        <w:r w:rsidR="00487553">
          <w:rPr>
            <w:webHidden/>
          </w:rPr>
          <w:instrText xml:space="preserve"> PAGEREF _Toc20148440 \h </w:instrText>
        </w:r>
        <w:r w:rsidR="00487553">
          <w:rPr>
            <w:webHidden/>
          </w:rPr>
        </w:r>
        <w:r w:rsidR="00487553">
          <w:rPr>
            <w:webHidden/>
          </w:rPr>
          <w:fldChar w:fldCharType="separate"/>
        </w:r>
        <w:r w:rsidR="00A0463E">
          <w:rPr>
            <w:webHidden/>
          </w:rPr>
          <w:t>35</w:t>
        </w:r>
        <w:r w:rsidR="00487553">
          <w:rPr>
            <w:webHidden/>
          </w:rPr>
          <w:fldChar w:fldCharType="end"/>
        </w:r>
      </w:hyperlink>
    </w:p>
    <w:p w14:paraId="73A6DFD1" w14:textId="77777777" w:rsidR="00487553" w:rsidRDefault="00E51D7B">
      <w:pPr>
        <w:pStyle w:val="20"/>
        <w:rPr>
          <w:rFonts w:asciiTheme="minorHAnsi" w:eastAsiaTheme="minorEastAsia" w:hAnsiTheme="minorHAnsi" w:cstheme="minorBidi"/>
          <w:smallCaps w:val="0"/>
          <w:szCs w:val="22"/>
        </w:rPr>
      </w:pPr>
      <w:hyperlink w:anchor="_Toc20148441" w:history="1">
        <w:r w:rsidR="00487553" w:rsidRPr="00981BD2">
          <w:rPr>
            <w:rStyle w:val="af2"/>
            <w:rFonts w:asciiTheme="minorEastAsia" w:hAnsiTheme="minorEastAsia" w:hint="eastAsia"/>
            <w:bCs/>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申购与赎回的原则</w:t>
        </w:r>
        <w:r w:rsidR="00487553">
          <w:rPr>
            <w:webHidden/>
          </w:rPr>
          <w:tab/>
        </w:r>
        <w:r w:rsidR="00487553">
          <w:rPr>
            <w:webHidden/>
          </w:rPr>
          <w:fldChar w:fldCharType="begin"/>
        </w:r>
        <w:r w:rsidR="00487553">
          <w:rPr>
            <w:webHidden/>
          </w:rPr>
          <w:instrText xml:space="preserve"> PAGEREF _Toc20148441 \h </w:instrText>
        </w:r>
        <w:r w:rsidR="00487553">
          <w:rPr>
            <w:webHidden/>
          </w:rPr>
        </w:r>
        <w:r w:rsidR="00487553">
          <w:rPr>
            <w:webHidden/>
          </w:rPr>
          <w:fldChar w:fldCharType="separate"/>
        </w:r>
        <w:r w:rsidR="00A0463E">
          <w:rPr>
            <w:webHidden/>
          </w:rPr>
          <w:t>35</w:t>
        </w:r>
        <w:r w:rsidR="00487553">
          <w:rPr>
            <w:webHidden/>
          </w:rPr>
          <w:fldChar w:fldCharType="end"/>
        </w:r>
      </w:hyperlink>
    </w:p>
    <w:p w14:paraId="63E55859" w14:textId="77777777" w:rsidR="00487553" w:rsidRDefault="00E51D7B">
      <w:pPr>
        <w:pStyle w:val="20"/>
        <w:rPr>
          <w:rFonts w:asciiTheme="minorHAnsi" w:eastAsiaTheme="minorEastAsia" w:hAnsiTheme="minorHAnsi" w:cstheme="minorBidi"/>
          <w:smallCaps w:val="0"/>
          <w:szCs w:val="22"/>
        </w:rPr>
      </w:pPr>
      <w:hyperlink w:anchor="_Toc20148442" w:history="1">
        <w:r w:rsidR="00487553" w:rsidRPr="00981BD2">
          <w:rPr>
            <w:rStyle w:val="af2"/>
            <w:rFonts w:asciiTheme="minorEastAsia" w:hAnsiTheme="minorEastAsia" w:hint="eastAsia"/>
            <w:bCs/>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申购和赎回的程序</w:t>
        </w:r>
        <w:r w:rsidR="00487553">
          <w:rPr>
            <w:webHidden/>
          </w:rPr>
          <w:tab/>
        </w:r>
        <w:r w:rsidR="00487553">
          <w:rPr>
            <w:webHidden/>
          </w:rPr>
          <w:fldChar w:fldCharType="begin"/>
        </w:r>
        <w:r w:rsidR="00487553">
          <w:rPr>
            <w:webHidden/>
          </w:rPr>
          <w:instrText xml:space="preserve"> PAGEREF _Toc20148442 \h </w:instrText>
        </w:r>
        <w:r w:rsidR="00487553">
          <w:rPr>
            <w:webHidden/>
          </w:rPr>
        </w:r>
        <w:r w:rsidR="00487553">
          <w:rPr>
            <w:webHidden/>
          </w:rPr>
          <w:fldChar w:fldCharType="separate"/>
        </w:r>
        <w:r w:rsidR="00A0463E">
          <w:rPr>
            <w:webHidden/>
          </w:rPr>
          <w:t>36</w:t>
        </w:r>
        <w:r w:rsidR="00487553">
          <w:rPr>
            <w:webHidden/>
          </w:rPr>
          <w:fldChar w:fldCharType="end"/>
        </w:r>
      </w:hyperlink>
    </w:p>
    <w:p w14:paraId="707B3F3F" w14:textId="77777777" w:rsidR="00487553" w:rsidRDefault="00E51D7B">
      <w:pPr>
        <w:pStyle w:val="20"/>
        <w:rPr>
          <w:rFonts w:asciiTheme="minorHAnsi" w:eastAsiaTheme="minorEastAsia" w:hAnsiTheme="minorHAnsi" w:cstheme="minorBidi"/>
          <w:smallCaps w:val="0"/>
          <w:szCs w:val="22"/>
        </w:rPr>
      </w:pPr>
      <w:hyperlink w:anchor="_Toc20148443" w:history="1">
        <w:r w:rsidR="00487553" w:rsidRPr="00981BD2">
          <w:rPr>
            <w:rStyle w:val="af2"/>
            <w:rFonts w:asciiTheme="minorEastAsia" w:hAnsiTheme="minorEastAsia" w:hint="eastAsia"/>
            <w:bCs/>
          </w:rPr>
          <w:t>六、</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申购和赎回的数额限制</w:t>
        </w:r>
        <w:r w:rsidR="00487553">
          <w:rPr>
            <w:webHidden/>
          </w:rPr>
          <w:tab/>
        </w:r>
        <w:r w:rsidR="00487553">
          <w:rPr>
            <w:webHidden/>
          </w:rPr>
          <w:fldChar w:fldCharType="begin"/>
        </w:r>
        <w:r w:rsidR="00487553">
          <w:rPr>
            <w:webHidden/>
          </w:rPr>
          <w:instrText xml:space="preserve"> PAGEREF _Toc20148443 \h </w:instrText>
        </w:r>
        <w:r w:rsidR="00487553">
          <w:rPr>
            <w:webHidden/>
          </w:rPr>
        </w:r>
        <w:r w:rsidR="00487553">
          <w:rPr>
            <w:webHidden/>
          </w:rPr>
          <w:fldChar w:fldCharType="separate"/>
        </w:r>
        <w:r w:rsidR="00A0463E">
          <w:rPr>
            <w:webHidden/>
          </w:rPr>
          <w:t>36</w:t>
        </w:r>
        <w:r w:rsidR="00487553">
          <w:rPr>
            <w:webHidden/>
          </w:rPr>
          <w:fldChar w:fldCharType="end"/>
        </w:r>
      </w:hyperlink>
    </w:p>
    <w:p w14:paraId="433649D3" w14:textId="77777777" w:rsidR="00487553" w:rsidRDefault="00E51D7B">
      <w:pPr>
        <w:pStyle w:val="20"/>
        <w:rPr>
          <w:rFonts w:asciiTheme="minorHAnsi" w:eastAsiaTheme="minorEastAsia" w:hAnsiTheme="minorHAnsi" w:cstheme="minorBidi"/>
          <w:smallCaps w:val="0"/>
          <w:szCs w:val="22"/>
        </w:rPr>
      </w:pPr>
      <w:hyperlink w:anchor="_Toc20148444" w:history="1">
        <w:r w:rsidR="00487553" w:rsidRPr="00981BD2">
          <w:rPr>
            <w:rStyle w:val="af2"/>
            <w:rFonts w:asciiTheme="minorEastAsia" w:hAnsiTheme="minorEastAsia" w:hint="eastAsia"/>
            <w:bCs/>
          </w:rPr>
          <w:t>七、</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申购与赎回的费率</w:t>
        </w:r>
        <w:r w:rsidR="00487553">
          <w:rPr>
            <w:webHidden/>
          </w:rPr>
          <w:tab/>
        </w:r>
        <w:r w:rsidR="00487553">
          <w:rPr>
            <w:webHidden/>
          </w:rPr>
          <w:fldChar w:fldCharType="begin"/>
        </w:r>
        <w:r w:rsidR="00487553">
          <w:rPr>
            <w:webHidden/>
          </w:rPr>
          <w:instrText xml:space="preserve"> PAGEREF _Toc20148444 \h </w:instrText>
        </w:r>
        <w:r w:rsidR="00487553">
          <w:rPr>
            <w:webHidden/>
          </w:rPr>
        </w:r>
        <w:r w:rsidR="00487553">
          <w:rPr>
            <w:webHidden/>
          </w:rPr>
          <w:fldChar w:fldCharType="separate"/>
        </w:r>
        <w:r w:rsidR="00A0463E">
          <w:rPr>
            <w:webHidden/>
          </w:rPr>
          <w:t>38</w:t>
        </w:r>
        <w:r w:rsidR="00487553">
          <w:rPr>
            <w:webHidden/>
          </w:rPr>
          <w:fldChar w:fldCharType="end"/>
        </w:r>
      </w:hyperlink>
    </w:p>
    <w:p w14:paraId="14BAF9E6" w14:textId="77777777" w:rsidR="00487553" w:rsidRDefault="00E51D7B">
      <w:pPr>
        <w:pStyle w:val="20"/>
        <w:rPr>
          <w:rFonts w:asciiTheme="minorHAnsi" w:eastAsiaTheme="minorEastAsia" w:hAnsiTheme="minorHAnsi" w:cstheme="minorBidi"/>
          <w:smallCaps w:val="0"/>
          <w:szCs w:val="22"/>
        </w:rPr>
      </w:pPr>
      <w:hyperlink w:anchor="_Toc20148445" w:history="1">
        <w:r w:rsidR="00487553" w:rsidRPr="00981BD2">
          <w:rPr>
            <w:rStyle w:val="af2"/>
            <w:rFonts w:asciiTheme="minorEastAsia" w:hAnsiTheme="minorEastAsia" w:hint="eastAsia"/>
            <w:bCs/>
          </w:rPr>
          <w:t>八、</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申购份额与赎回金额的计算</w:t>
        </w:r>
        <w:r w:rsidR="00487553">
          <w:rPr>
            <w:webHidden/>
          </w:rPr>
          <w:tab/>
        </w:r>
        <w:r w:rsidR="00487553">
          <w:rPr>
            <w:webHidden/>
          </w:rPr>
          <w:fldChar w:fldCharType="begin"/>
        </w:r>
        <w:r w:rsidR="00487553">
          <w:rPr>
            <w:webHidden/>
          </w:rPr>
          <w:instrText xml:space="preserve"> PAGEREF _Toc20148445 \h </w:instrText>
        </w:r>
        <w:r w:rsidR="00487553">
          <w:rPr>
            <w:webHidden/>
          </w:rPr>
        </w:r>
        <w:r w:rsidR="00487553">
          <w:rPr>
            <w:webHidden/>
          </w:rPr>
          <w:fldChar w:fldCharType="separate"/>
        </w:r>
        <w:r w:rsidR="00A0463E">
          <w:rPr>
            <w:webHidden/>
          </w:rPr>
          <w:t>39</w:t>
        </w:r>
        <w:r w:rsidR="00487553">
          <w:rPr>
            <w:webHidden/>
          </w:rPr>
          <w:fldChar w:fldCharType="end"/>
        </w:r>
      </w:hyperlink>
    </w:p>
    <w:p w14:paraId="6411A2A7" w14:textId="77777777" w:rsidR="00487553" w:rsidRDefault="00E51D7B">
      <w:pPr>
        <w:pStyle w:val="20"/>
        <w:rPr>
          <w:rFonts w:asciiTheme="minorHAnsi" w:eastAsiaTheme="minorEastAsia" w:hAnsiTheme="minorHAnsi" w:cstheme="minorBidi"/>
          <w:smallCaps w:val="0"/>
          <w:szCs w:val="22"/>
        </w:rPr>
      </w:pPr>
      <w:hyperlink w:anchor="_Toc20148446" w:history="1">
        <w:r w:rsidR="00487553" w:rsidRPr="00981BD2">
          <w:rPr>
            <w:rStyle w:val="af2"/>
            <w:rFonts w:asciiTheme="minorEastAsia" w:hAnsiTheme="minorEastAsia" w:hint="eastAsia"/>
            <w:bCs/>
          </w:rPr>
          <w:t>九、</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申购和赎回的注册登记</w:t>
        </w:r>
        <w:r w:rsidR="00487553">
          <w:rPr>
            <w:webHidden/>
          </w:rPr>
          <w:tab/>
        </w:r>
        <w:r w:rsidR="00487553">
          <w:rPr>
            <w:webHidden/>
          </w:rPr>
          <w:fldChar w:fldCharType="begin"/>
        </w:r>
        <w:r w:rsidR="00487553">
          <w:rPr>
            <w:webHidden/>
          </w:rPr>
          <w:instrText xml:space="preserve"> PAGEREF _Toc20148446 \h </w:instrText>
        </w:r>
        <w:r w:rsidR="00487553">
          <w:rPr>
            <w:webHidden/>
          </w:rPr>
        </w:r>
        <w:r w:rsidR="00487553">
          <w:rPr>
            <w:webHidden/>
          </w:rPr>
          <w:fldChar w:fldCharType="separate"/>
        </w:r>
        <w:r w:rsidR="00A0463E">
          <w:rPr>
            <w:webHidden/>
          </w:rPr>
          <w:t>41</w:t>
        </w:r>
        <w:r w:rsidR="00487553">
          <w:rPr>
            <w:webHidden/>
          </w:rPr>
          <w:fldChar w:fldCharType="end"/>
        </w:r>
      </w:hyperlink>
    </w:p>
    <w:p w14:paraId="1399C00E" w14:textId="77777777" w:rsidR="00487553" w:rsidRDefault="00E51D7B">
      <w:pPr>
        <w:pStyle w:val="20"/>
        <w:rPr>
          <w:rFonts w:asciiTheme="minorHAnsi" w:eastAsiaTheme="minorEastAsia" w:hAnsiTheme="minorHAnsi" w:cstheme="minorBidi"/>
          <w:smallCaps w:val="0"/>
          <w:szCs w:val="22"/>
        </w:rPr>
      </w:pPr>
      <w:hyperlink w:anchor="_Toc20148447" w:history="1">
        <w:r w:rsidR="00487553" w:rsidRPr="00981BD2">
          <w:rPr>
            <w:rStyle w:val="af2"/>
            <w:rFonts w:asciiTheme="minorEastAsia" w:hAnsiTheme="minorEastAsia" w:hint="eastAsia"/>
            <w:bCs/>
          </w:rPr>
          <w:t>十、</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拒绝或暂停申购、暂停赎回的情形及处理方式</w:t>
        </w:r>
        <w:r w:rsidR="00487553">
          <w:rPr>
            <w:webHidden/>
          </w:rPr>
          <w:tab/>
        </w:r>
        <w:r w:rsidR="00487553">
          <w:rPr>
            <w:webHidden/>
          </w:rPr>
          <w:fldChar w:fldCharType="begin"/>
        </w:r>
        <w:r w:rsidR="00487553">
          <w:rPr>
            <w:webHidden/>
          </w:rPr>
          <w:instrText xml:space="preserve"> PAGEREF _Toc20148447 \h </w:instrText>
        </w:r>
        <w:r w:rsidR="00487553">
          <w:rPr>
            <w:webHidden/>
          </w:rPr>
        </w:r>
        <w:r w:rsidR="00487553">
          <w:rPr>
            <w:webHidden/>
          </w:rPr>
          <w:fldChar w:fldCharType="separate"/>
        </w:r>
        <w:r w:rsidR="00A0463E">
          <w:rPr>
            <w:webHidden/>
          </w:rPr>
          <w:t>42</w:t>
        </w:r>
        <w:r w:rsidR="00487553">
          <w:rPr>
            <w:webHidden/>
          </w:rPr>
          <w:fldChar w:fldCharType="end"/>
        </w:r>
      </w:hyperlink>
    </w:p>
    <w:p w14:paraId="0C699555" w14:textId="77777777" w:rsidR="00487553" w:rsidRDefault="00E51D7B">
      <w:pPr>
        <w:pStyle w:val="20"/>
        <w:rPr>
          <w:rFonts w:asciiTheme="minorHAnsi" w:eastAsiaTheme="minorEastAsia" w:hAnsiTheme="minorHAnsi" w:cstheme="minorBidi"/>
          <w:smallCaps w:val="0"/>
          <w:szCs w:val="22"/>
        </w:rPr>
      </w:pPr>
      <w:hyperlink w:anchor="_Toc20148448" w:history="1">
        <w:r w:rsidR="00487553" w:rsidRPr="00981BD2">
          <w:rPr>
            <w:rStyle w:val="af2"/>
            <w:rFonts w:asciiTheme="minorEastAsia" w:hAnsiTheme="minorEastAsia" w:hint="eastAsia"/>
            <w:bCs/>
          </w:rPr>
          <w:t>十一、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巨额赎回的认定及处理方式</w:t>
        </w:r>
        <w:r w:rsidR="00487553">
          <w:rPr>
            <w:webHidden/>
          </w:rPr>
          <w:tab/>
        </w:r>
        <w:r w:rsidR="00487553">
          <w:rPr>
            <w:webHidden/>
          </w:rPr>
          <w:fldChar w:fldCharType="begin"/>
        </w:r>
        <w:r w:rsidR="00487553">
          <w:rPr>
            <w:webHidden/>
          </w:rPr>
          <w:instrText xml:space="preserve"> PAGEREF _Toc20148448 \h </w:instrText>
        </w:r>
        <w:r w:rsidR="00487553">
          <w:rPr>
            <w:webHidden/>
          </w:rPr>
        </w:r>
        <w:r w:rsidR="00487553">
          <w:rPr>
            <w:webHidden/>
          </w:rPr>
          <w:fldChar w:fldCharType="separate"/>
        </w:r>
        <w:r w:rsidR="00A0463E">
          <w:rPr>
            <w:webHidden/>
          </w:rPr>
          <w:t>43</w:t>
        </w:r>
        <w:r w:rsidR="00487553">
          <w:rPr>
            <w:webHidden/>
          </w:rPr>
          <w:fldChar w:fldCharType="end"/>
        </w:r>
      </w:hyperlink>
    </w:p>
    <w:p w14:paraId="499292DA" w14:textId="77777777" w:rsidR="00487553" w:rsidRDefault="00E51D7B">
      <w:pPr>
        <w:pStyle w:val="20"/>
        <w:rPr>
          <w:rFonts w:asciiTheme="minorHAnsi" w:eastAsiaTheme="minorEastAsia" w:hAnsiTheme="minorHAnsi" w:cstheme="minorBidi"/>
          <w:smallCaps w:val="0"/>
          <w:szCs w:val="22"/>
        </w:rPr>
      </w:pPr>
      <w:hyperlink w:anchor="_Toc20148449" w:history="1">
        <w:r w:rsidR="00487553" w:rsidRPr="00981BD2">
          <w:rPr>
            <w:rStyle w:val="af2"/>
            <w:rFonts w:asciiTheme="minorEastAsia" w:hAnsiTheme="minorEastAsia" w:hint="eastAsia"/>
            <w:bCs/>
          </w:rPr>
          <w:t>十二、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其他暂停申购和赎回的情形及处理方式</w:t>
        </w:r>
        <w:r w:rsidR="00487553">
          <w:rPr>
            <w:webHidden/>
          </w:rPr>
          <w:tab/>
        </w:r>
        <w:r w:rsidR="00487553">
          <w:rPr>
            <w:webHidden/>
          </w:rPr>
          <w:fldChar w:fldCharType="begin"/>
        </w:r>
        <w:r w:rsidR="00487553">
          <w:rPr>
            <w:webHidden/>
          </w:rPr>
          <w:instrText xml:space="preserve"> PAGEREF _Toc20148449 \h </w:instrText>
        </w:r>
        <w:r w:rsidR="00487553">
          <w:rPr>
            <w:webHidden/>
          </w:rPr>
        </w:r>
        <w:r w:rsidR="00487553">
          <w:rPr>
            <w:webHidden/>
          </w:rPr>
          <w:fldChar w:fldCharType="separate"/>
        </w:r>
        <w:r w:rsidR="00A0463E">
          <w:rPr>
            <w:webHidden/>
          </w:rPr>
          <w:t>44</w:t>
        </w:r>
        <w:r w:rsidR="00487553">
          <w:rPr>
            <w:webHidden/>
          </w:rPr>
          <w:fldChar w:fldCharType="end"/>
        </w:r>
      </w:hyperlink>
    </w:p>
    <w:p w14:paraId="17189F26" w14:textId="77777777" w:rsidR="00487553" w:rsidRDefault="00E51D7B">
      <w:pPr>
        <w:pStyle w:val="20"/>
        <w:rPr>
          <w:rFonts w:asciiTheme="minorHAnsi" w:eastAsiaTheme="minorEastAsia" w:hAnsiTheme="minorHAnsi" w:cstheme="minorBidi"/>
          <w:smallCaps w:val="0"/>
          <w:szCs w:val="22"/>
        </w:rPr>
      </w:pPr>
      <w:hyperlink w:anchor="_Toc20148450" w:history="1">
        <w:r w:rsidR="00487553" w:rsidRPr="00981BD2">
          <w:rPr>
            <w:rStyle w:val="af2"/>
            <w:rFonts w:asciiTheme="minorEastAsia" w:hAnsiTheme="minorEastAsia" w:hint="eastAsia"/>
            <w:bCs/>
          </w:rPr>
          <w:t>十三、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基金的转换</w:t>
        </w:r>
        <w:r w:rsidR="00487553">
          <w:rPr>
            <w:webHidden/>
          </w:rPr>
          <w:tab/>
        </w:r>
        <w:r w:rsidR="00487553">
          <w:rPr>
            <w:webHidden/>
          </w:rPr>
          <w:fldChar w:fldCharType="begin"/>
        </w:r>
        <w:r w:rsidR="00487553">
          <w:rPr>
            <w:webHidden/>
          </w:rPr>
          <w:instrText xml:space="preserve"> PAGEREF _Toc20148450 \h </w:instrText>
        </w:r>
        <w:r w:rsidR="00487553">
          <w:rPr>
            <w:webHidden/>
          </w:rPr>
        </w:r>
        <w:r w:rsidR="00487553">
          <w:rPr>
            <w:webHidden/>
          </w:rPr>
          <w:fldChar w:fldCharType="separate"/>
        </w:r>
        <w:r w:rsidR="00A0463E">
          <w:rPr>
            <w:webHidden/>
          </w:rPr>
          <w:t>44</w:t>
        </w:r>
        <w:r w:rsidR="00487553">
          <w:rPr>
            <w:webHidden/>
          </w:rPr>
          <w:fldChar w:fldCharType="end"/>
        </w:r>
      </w:hyperlink>
    </w:p>
    <w:p w14:paraId="269E2223" w14:textId="77777777" w:rsidR="00487553" w:rsidRDefault="00E51D7B">
      <w:pPr>
        <w:pStyle w:val="20"/>
        <w:rPr>
          <w:rFonts w:asciiTheme="minorHAnsi" w:eastAsiaTheme="minorEastAsia" w:hAnsiTheme="minorHAnsi" w:cstheme="minorBidi"/>
          <w:smallCaps w:val="0"/>
          <w:szCs w:val="22"/>
        </w:rPr>
      </w:pPr>
      <w:hyperlink w:anchor="_Toc20148451" w:history="1">
        <w:r w:rsidR="00487553" w:rsidRPr="00981BD2">
          <w:rPr>
            <w:rStyle w:val="af2"/>
            <w:rFonts w:asciiTheme="minorEastAsia" w:hAnsiTheme="minorEastAsia" w:hint="eastAsia"/>
            <w:bCs/>
          </w:rPr>
          <w:t>十四、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定期定额投资计划</w:t>
        </w:r>
        <w:r w:rsidR="00487553">
          <w:rPr>
            <w:webHidden/>
          </w:rPr>
          <w:tab/>
        </w:r>
        <w:r w:rsidR="00487553">
          <w:rPr>
            <w:webHidden/>
          </w:rPr>
          <w:fldChar w:fldCharType="begin"/>
        </w:r>
        <w:r w:rsidR="00487553">
          <w:rPr>
            <w:webHidden/>
          </w:rPr>
          <w:instrText xml:space="preserve"> PAGEREF _Toc20148451 \h </w:instrText>
        </w:r>
        <w:r w:rsidR="00487553">
          <w:rPr>
            <w:webHidden/>
          </w:rPr>
        </w:r>
        <w:r w:rsidR="00487553">
          <w:rPr>
            <w:webHidden/>
          </w:rPr>
          <w:fldChar w:fldCharType="separate"/>
        </w:r>
        <w:r w:rsidR="00A0463E">
          <w:rPr>
            <w:webHidden/>
          </w:rPr>
          <w:t>44</w:t>
        </w:r>
        <w:r w:rsidR="00487553">
          <w:rPr>
            <w:webHidden/>
          </w:rPr>
          <w:fldChar w:fldCharType="end"/>
        </w:r>
      </w:hyperlink>
    </w:p>
    <w:p w14:paraId="1B906E6F" w14:textId="77777777" w:rsidR="00487553" w:rsidRDefault="00E51D7B">
      <w:pPr>
        <w:pStyle w:val="20"/>
        <w:rPr>
          <w:rFonts w:asciiTheme="minorHAnsi" w:eastAsiaTheme="minorEastAsia" w:hAnsiTheme="minorHAnsi" w:cstheme="minorBidi"/>
          <w:smallCaps w:val="0"/>
          <w:szCs w:val="22"/>
        </w:rPr>
      </w:pPr>
      <w:hyperlink w:anchor="_Toc20148452" w:history="1">
        <w:r w:rsidR="00487553" w:rsidRPr="00981BD2">
          <w:rPr>
            <w:rStyle w:val="af2"/>
            <w:rFonts w:asciiTheme="minorEastAsia" w:hAnsiTheme="minorEastAsia" w:hint="eastAsia"/>
            <w:bCs/>
          </w:rPr>
          <w:t>十五、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bCs/>
          </w:rPr>
          <w:t>基金的非交易过户、转托管、冻结与质押</w:t>
        </w:r>
        <w:r w:rsidR="00487553">
          <w:rPr>
            <w:webHidden/>
          </w:rPr>
          <w:tab/>
        </w:r>
        <w:r w:rsidR="00487553">
          <w:rPr>
            <w:webHidden/>
          </w:rPr>
          <w:fldChar w:fldCharType="begin"/>
        </w:r>
        <w:r w:rsidR="00487553">
          <w:rPr>
            <w:webHidden/>
          </w:rPr>
          <w:instrText xml:space="preserve"> PAGEREF _Toc20148452 \h </w:instrText>
        </w:r>
        <w:r w:rsidR="00487553">
          <w:rPr>
            <w:webHidden/>
          </w:rPr>
        </w:r>
        <w:r w:rsidR="00487553">
          <w:rPr>
            <w:webHidden/>
          </w:rPr>
          <w:fldChar w:fldCharType="separate"/>
        </w:r>
        <w:r w:rsidR="00A0463E">
          <w:rPr>
            <w:webHidden/>
          </w:rPr>
          <w:t>44</w:t>
        </w:r>
        <w:r w:rsidR="00487553">
          <w:rPr>
            <w:webHidden/>
          </w:rPr>
          <w:fldChar w:fldCharType="end"/>
        </w:r>
      </w:hyperlink>
    </w:p>
    <w:p w14:paraId="0EE96A60"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53" w:history="1">
        <w:r w:rsidR="00487553" w:rsidRPr="00981BD2">
          <w:rPr>
            <w:rStyle w:val="af2"/>
            <w:rFonts w:asciiTheme="minorEastAsia" w:hAnsiTheme="minorEastAsia" w:hint="eastAsia"/>
          </w:rPr>
          <w:t>第十一节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基金的费用与税收</w:t>
        </w:r>
        <w:r w:rsidR="00487553">
          <w:rPr>
            <w:webHidden/>
          </w:rPr>
          <w:tab/>
        </w:r>
        <w:r w:rsidR="00487553">
          <w:rPr>
            <w:webHidden/>
          </w:rPr>
          <w:fldChar w:fldCharType="begin"/>
        </w:r>
        <w:r w:rsidR="00487553">
          <w:rPr>
            <w:webHidden/>
          </w:rPr>
          <w:instrText xml:space="preserve"> PAGEREF _Toc20148453 \h </w:instrText>
        </w:r>
        <w:r w:rsidR="00487553">
          <w:rPr>
            <w:webHidden/>
          </w:rPr>
        </w:r>
        <w:r w:rsidR="00487553">
          <w:rPr>
            <w:webHidden/>
          </w:rPr>
          <w:fldChar w:fldCharType="separate"/>
        </w:r>
        <w:r w:rsidR="00A0463E">
          <w:rPr>
            <w:webHidden/>
          </w:rPr>
          <w:t>46</w:t>
        </w:r>
        <w:r w:rsidR="00487553">
          <w:rPr>
            <w:webHidden/>
          </w:rPr>
          <w:fldChar w:fldCharType="end"/>
        </w:r>
      </w:hyperlink>
    </w:p>
    <w:p w14:paraId="2BA29462" w14:textId="77777777" w:rsidR="00487553" w:rsidRDefault="00E51D7B">
      <w:pPr>
        <w:pStyle w:val="20"/>
        <w:rPr>
          <w:rFonts w:asciiTheme="minorHAnsi" w:eastAsiaTheme="minorEastAsia" w:hAnsiTheme="minorHAnsi" w:cstheme="minorBidi"/>
          <w:smallCaps w:val="0"/>
          <w:szCs w:val="22"/>
        </w:rPr>
      </w:pPr>
      <w:hyperlink w:anchor="_Toc20148454"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与基金运作相关的费用</w:t>
        </w:r>
        <w:r w:rsidR="00487553">
          <w:rPr>
            <w:webHidden/>
          </w:rPr>
          <w:tab/>
        </w:r>
        <w:r w:rsidR="00487553">
          <w:rPr>
            <w:webHidden/>
          </w:rPr>
          <w:fldChar w:fldCharType="begin"/>
        </w:r>
        <w:r w:rsidR="00487553">
          <w:rPr>
            <w:webHidden/>
          </w:rPr>
          <w:instrText xml:space="preserve"> PAGEREF _Toc20148454 \h </w:instrText>
        </w:r>
        <w:r w:rsidR="00487553">
          <w:rPr>
            <w:webHidden/>
          </w:rPr>
        </w:r>
        <w:r w:rsidR="00487553">
          <w:rPr>
            <w:webHidden/>
          </w:rPr>
          <w:fldChar w:fldCharType="separate"/>
        </w:r>
        <w:r w:rsidR="00A0463E">
          <w:rPr>
            <w:webHidden/>
          </w:rPr>
          <w:t>46</w:t>
        </w:r>
        <w:r w:rsidR="00487553">
          <w:rPr>
            <w:webHidden/>
          </w:rPr>
          <w:fldChar w:fldCharType="end"/>
        </w:r>
      </w:hyperlink>
    </w:p>
    <w:p w14:paraId="17232D39" w14:textId="77777777" w:rsidR="00487553" w:rsidRDefault="00E51D7B">
      <w:pPr>
        <w:pStyle w:val="20"/>
        <w:rPr>
          <w:rFonts w:asciiTheme="minorHAnsi" w:eastAsiaTheme="minorEastAsia" w:hAnsiTheme="minorHAnsi" w:cstheme="minorBidi"/>
          <w:smallCaps w:val="0"/>
          <w:szCs w:val="22"/>
        </w:rPr>
      </w:pPr>
      <w:hyperlink w:anchor="_Toc20148455"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与基金销售有关的费用</w:t>
        </w:r>
        <w:r w:rsidR="00487553">
          <w:rPr>
            <w:webHidden/>
          </w:rPr>
          <w:tab/>
        </w:r>
        <w:r w:rsidR="00487553">
          <w:rPr>
            <w:webHidden/>
          </w:rPr>
          <w:fldChar w:fldCharType="begin"/>
        </w:r>
        <w:r w:rsidR="00487553">
          <w:rPr>
            <w:webHidden/>
          </w:rPr>
          <w:instrText xml:space="preserve"> PAGEREF _Toc20148455 \h </w:instrText>
        </w:r>
        <w:r w:rsidR="00487553">
          <w:rPr>
            <w:webHidden/>
          </w:rPr>
        </w:r>
        <w:r w:rsidR="00487553">
          <w:rPr>
            <w:webHidden/>
          </w:rPr>
          <w:fldChar w:fldCharType="separate"/>
        </w:r>
        <w:r w:rsidR="00A0463E">
          <w:rPr>
            <w:webHidden/>
          </w:rPr>
          <w:t>48</w:t>
        </w:r>
        <w:r w:rsidR="00487553">
          <w:rPr>
            <w:webHidden/>
          </w:rPr>
          <w:fldChar w:fldCharType="end"/>
        </w:r>
      </w:hyperlink>
    </w:p>
    <w:p w14:paraId="3B8AB155" w14:textId="77777777" w:rsidR="00487553" w:rsidRDefault="00E51D7B">
      <w:pPr>
        <w:pStyle w:val="20"/>
        <w:rPr>
          <w:rFonts w:asciiTheme="minorHAnsi" w:eastAsiaTheme="minorEastAsia" w:hAnsiTheme="minorHAnsi" w:cstheme="minorBidi"/>
          <w:smallCaps w:val="0"/>
          <w:szCs w:val="22"/>
        </w:rPr>
      </w:pPr>
      <w:hyperlink w:anchor="_Toc20148456"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基金税收</w:t>
        </w:r>
        <w:r w:rsidR="00487553">
          <w:rPr>
            <w:webHidden/>
          </w:rPr>
          <w:tab/>
        </w:r>
        <w:r w:rsidR="00487553">
          <w:rPr>
            <w:webHidden/>
          </w:rPr>
          <w:fldChar w:fldCharType="begin"/>
        </w:r>
        <w:r w:rsidR="00487553">
          <w:rPr>
            <w:webHidden/>
          </w:rPr>
          <w:instrText xml:space="preserve"> PAGEREF _Toc20148456 \h </w:instrText>
        </w:r>
        <w:r w:rsidR="00487553">
          <w:rPr>
            <w:webHidden/>
          </w:rPr>
        </w:r>
        <w:r w:rsidR="00487553">
          <w:rPr>
            <w:webHidden/>
          </w:rPr>
          <w:fldChar w:fldCharType="separate"/>
        </w:r>
        <w:r w:rsidR="00A0463E">
          <w:rPr>
            <w:webHidden/>
          </w:rPr>
          <w:t>48</w:t>
        </w:r>
        <w:r w:rsidR="00487553">
          <w:rPr>
            <w:webHidden/>
          </w:rPr>
          <w:fldChar w:fldCharType="end"/>
        </w:r>
      </w:hyperlink>
    </w:p>
    <w:p w14:paraId="52C1EA9C"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57" w:history="1">
        <w:r w:rsidR="00487553" w:rsidRPr="00981BD2">
          <w:rPr>
            <w:rStyle w:val="af2"/>
            <w:rFonts w:asciiTheme="minorEastAsia" w:hAnsiTheme="minorEastAsia" w:hint="eastAsia"/>
          </w:rPr>
          <w:t>第十二节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基金的财产</w:t>
        </w:r>
        <w:r w:rsidR="00487553">
          <w:rPr>
            <w:webHidden/>
          </w:rPr>
          <w:tab/>
        </w:r>
        <w:r w:rsidR="00487553">
          <w:rPr>
            <w:webHidden/>
          </w:rPr>
          <w:fldChar w:fldCharType="begin"/>
        </w:r>
        <w:r w:rsidR="00487553">
          <w:rPr>
            <w:webHidden/>
          </w:rPr>
          <w:instrText xml:space="preserve"> PAGEREF _Toc20148457 \h </w:instrText>
        </w:r>
        <w:r w:rsidR="00487553">
          <w:rPr>
            <w:webHidden/>
          </w:rPr>
        </w:r>
        <w:r w:rsidR="00487553">
          <w:rPr>
            <w:webHidden/>
          </w:rPr>
          <w:fldChar w:fldCharType="separate"/>
        </w:r>
        <w:r w:rsidR="00A0463E">
          <w:rPr>
            <w:webHidden/>
          </w:rPr>
          <w:t>49</w:t>
        </w:r>
        <w:r w:rsidR="00487553">
          <w:rPr>
            <w:webHidden/>
          </w:rPr>
          <w:fldChar w:fldCharType="end"/>
        </w:r>
      </w:hyperlink>
    </w:p>
    <w:p w14:paraId="74524F9D" w14:textId="77777777" w:rsidR="00487553" w:rsidRDefault="00E51D7B">
      <w:pPr>
        <w:pStyle w:val="20"/>
        <w:rPr>
          <w:rFonts w:asciiTheme="minorHAnsi" w:eastAsiaTheme="minorEastAsia" w:hAnsiTheme="minorHAnsi" w:cstheme="minorBidi"/>
          <w:smallCaps w:val="0"/>
          <w:szCs w:val="22"/>
        </w:rPr>
      </w:pPr>
      <w:hyperlink w:anchor="_Toc20148458"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基金资产总值</w:t>
        </w:r>
        <w:r w:rsidR="00487553">
          <w:rPr>
            <w:webHidden/>
          </w:rPr>
          <w:tab/>
        </w:r>
        <w:r w:rsidR="00487553">
          <w:rPr>
            <w:webHidden/>
          </w:rPr>
          <w:fldChar w:fldCharType="begin"/>
        </w:r>
        <w:r w:rsidR="00487553">
          <w:rPr>
            <w:webHidden/>
          </w:rPr>
          <w:instrText xml:space="preserve"> PAGEREF _Toc20148458 \h </w:instrText>
        </w:r>
        <w:r w:rsidR="00487553">
          <w:rPr>
            <w:webHidden/>
          </w:rPr>
        </w:r>
        <w:r w:rsidR="00487553">
          <w:rPr>
            <w:webHidden/>
          </w:rPr>
          <w:fldChar w:fldCharType="separate"/>
        </w:r>
        <w:r w:rsidR="00A0463E">
          <w:rPr>
            <w:webHidden/>
          </w:rPr>
          <w:t>49</w:t>
        </w:r>
        <w:r w:rsidR="00487553">
          <w:rPr>
            <w:webHidden/>
          </w:rPr>
          <w:fldChar w:fldCharType="end"/>
        </w:r>
      </w:hyperlink>
    </w:p>
    <w:p w14:paraId="14C53E49" w14:textId="77777777" w:rsidR="00487553" w:rsidRDefault="00E51D7B">
      <w:pPr>
        <w:pStyle w:val="20"/>
        <w:rPr>
          <w:rFonts w:asciiTheme="minorHAnsi" w:eastAsiaTheme="minorEastAsia" w:hAnsiTheme="minorHAnsi" w:cstheme="minorBidi"/>
          <w:smallCaps w:val="0"/>
          <w:szCs w:val="22"/>
        </w:rPr>
      </w:pPr>
      <w:hyperlink w:anchor="_Toc20148459"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基金资产净值</w:t>
        </w:r>
        <w:r w:rsidR="00487553">
          <w:rPr>
            <w:webHidden/>
          </w:rPr>
          <w:tab/>
        </w:r>
        <w:r w:rsidR="00487553">
          <w:rPr>
            <w:webHidden/>
          </w:rPr>
          <w:fldChar w:fldCharType="begin"/>
        </w:r>
        <w:r w:rsidR="00487553">
          <w:rPr>
            <w:webHidden/>
          </w:rPr>
          <w:instrText xml:space="preserve"> PAGEREF _Toc20148459 \h </w:instrText>
        </w:r>
        <w:r w:rsidR="00487553">
          <w:rPr>
            <w:webHidden/>
          </w:rPr>
        </w:r>
        <w:r w:rsidR="00487553">
          <w:rPr>
            <w:webHidden/>
          </w:rPr>
          <w:fldChar w:fldCharType="separate"/>
        </w:r>
        <w:r w:rsidR="00A0463E">
          <w:rPr>
            <w:webHidden/>
          </w:rPr>
          <w:t>49</w:t>
        </w:r>
        <w:r w:rsidR="00487553">
          <w:rPr>
            <w:webHidden/>
          </w:rPr>
          <w:fldChar w:fldCharType="end"/>
        </w:r>
      </w:hyperlink>
    </w:p>
    <w:p w14:paraId="6DF340EC" w14:textId="77777777" w:rsidR="00487553" w:rsidRDefault="00E51D7B">
      <w:pPr>
        <w:pStyle w:val="20"/>
        <w:rPr>
          <w:rFonts w:asciiTheme="minorHAnsi" w:eastAsiaTheme="minorEastAsia" w:hAnsiTheme="minorHAnsi" w:cstheme="minorBidi"/>
          <w:smallCaps w:val="0"/>
          <w:szCs w:val="22"/>
        </w:rPr>
      </w:pPr>
      <w:hyperlink w:anchor="_Toc20148460"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基金财产的账户</w:t>
        </w:r>
        <w:r w:rsidR="00487553">
          <w:rPr>
            <w:webHidden/>
          </w:rPr>
          <w:tab/>
        </w:r>
        <w:r w:rsidR="00487553">
          <w:rPr>
            <w:webHidden/>
          </w:rPr>
          <w:fldChar w:fldCharType="begin"/>
        </w:r>
        <w:r w:rsidR="00487553">
          <w:rPr>
            <w:webHidden/>
          </w:rPr>
          <w:instrText xml:space="preserve"> PAGEREF _Toc20148460 \h </w:instrText>
        </w:r>
        <w:r w:rsidR="00487553">
          <w:rPr>
            <w:webHidden/>
          </w:rPr>
        </w:r>
        <w:r w:rsidR="00487553">
          <w:rPr>
            <w:webHidden/>
          </w:rPr>
          <w:fldChar w:fldCharType="separate"/>
        </w:r>
        <w:r w:rsidR="00A0463E">
          <w:rPr>
            <w:webHidden/>
          </w:rPr>
          <w:t>49</w:t>
        </w:r>
        <w:r w:rsidR="00487553">
          <w:rPr>
            <w:webHidden/>
          </w:rPr>
          <w:fldChar w:fldCharType="end"/>
        </w:r>
      </w:hyperlink>
    </w:p>
    <w:p w14:paraId="280E85BD" w14:textId="77777777" w:rsidR="00487553" w:rsidRDefault="00E51D7B">
      <w:pPr>
        <w:pStyle w:val="20"/>
        <w:rPr>
          <w:rFonts w:asciiTheme="minorHAnsi" w:eastAsiaTheme="minorEastAsia" w:hAnsiTheme="minorHAnsi" w:cstheme="minorBidi"/>
          <w:smallCaps w:val="0"/>
          <w:szCs w:val="22"/>
        </w:rPr>
      </w:pPr>
      <w:hyperlink w:anchor="_Toc20148461"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基金财产的保管及处分</w:t>
        </w:r>
        <w:r w:rsidR="00487553">
          <w:rPr>
            <w:webHidden/>
          </w:rPr>
          <w:tab/>
        </w:r>
        <w:r w:rsidR="00487553">
          <w:rPr>
            <w:webHidden/>
          </w:rPr>
          <w:fldChar w:fldCharType="begin"/>
        </w:r>
        <w:r w:rsidR="00487553">
          <w:rPr>
            <w:webHidden/>
          </w:rPr>
          <w:instrText xml:space="preserve"> PAGEREF _Toc20148461 \h </w:instrText>
        </w:r>
        <w:r w:rsidR="00487553">
          <w:rPr>
            <w:webHidden/>
          </w:rPr>
        </w:r>
        <w:r w:rsidR="00487553">
          <w:rPr>
            <w:webHidden/>
          </w:rPr>
          <w:fldChar w:fldCharType="separate"/>
        </w:r>
        <w:r w:rsidR="00A0463E">
          <w:rPr>
            <w:webHidden/>
          </w:rPr>
          <w:t>49</w:t>
        </w:r>
        <w:r w:rsidR="00487553">
          <w:rPr>
            <w:webHidden/>
          </w:rPr>
          <w:fldChar w:fldCharType="end"/>
        </w:r>
      </w:hyperlink>
    </w:p>
    <w:p w14:paraId="502D5BA2"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62" w:history="1">
        <w:r w:rsidR="00487553" w:rsidRPr="00981BD2">
          <w:rPr>
            <w:rStyle w:val="af2"/>
            <w:rFonts w:asciiTheme="minorEastAsia" w:hAnsiTheme="minorEastAsia" w:hint="eastAsia"/>
          </w:rPr>
          <w:t>第十三节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基金资产的估值</w:t>
        </w:r>
        <w:r w:rsidR="00487553">
          <w:rPr>
            <w:webHidden/>
          </w:rPr>
          <w:tab/>
        </w:r>
        <w:r w:rsidR="00487553">
          <w:rPr>
            <w:webHidden/>
          </w:rPr>
          <w:fldChar w:fldCharType="begin"/>
        </w:r>
        <w:r w:rsidR="00487553">
          <w:rPr>
            <w:webHidden/>
          </w:rPr>
          <w:instrText xml:space="preserve"> PAGEREF _Toc20148462 \h </w:instrText>
        </w:r>
        <w:r w:rsidR="00487553">
          <w:rPr>
            <w:webHidden/>
          </w:rPr>
        </w:r>
        <w:r w:rsidR="00487553">
          <w:rPr>
            <w:webHidden/>
          </w:rPr>
          <w:fldChar w:fldCharType="separate"/>
        </w:r>
        <w:r w:rsidR="00A0463E">
          <w:rPr>
            <w:webHidden/>
          </w:rPr>
          <w:t>51</w:t>
        </w:r>
        <w:r w:rsidR="00487553">
          <w:rPr>
            <w:webHidden/>
          </w:rPr>
          <w:fldChar w:fldCharType="end"/>
        </w:r>
      </w:hyperlink>
    </w:p>
    <w:p w14:paraId="772123A0" w14:textId="77777777" w:rsidR="00487553" w:rsidRDefault="00E51D7B">
      <w:pPr>
        <w:pStyle w:val="20"/>
        <w:rPr>
          <w:rFonts w:asciiTheme="minorHAnsi" w:eastAsiaTheme="minorEastAsia" w:hAnsiTheme="minorHAnsi" w:cstheme="minorBidi"/>
          <w:smallCaps w:val="0"/>
          <w:szCs w:val="22"/>
        </w:rPr>
      </w:pPr>
      <w:hyperlink w:anchor="_Toc20148463"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估值目的</w:t>
        </w:r>
        <w:r w:rsidR="00487553">
          <w:rPr>
            <w:webHidden/>
          </w:rPr>
          <w:tab/>
        </w:r>
        <w:r w:rsidR="00487553">
          <w:rPr>
            <w:webHidden/>
          </w:rPr>
          <w:fldChar w:fldCharType="begin"/>
        </w:r>
        <w:r w:rsidR="00487553">
          <w:rPr>
            <w:webHidden/>
          </w:rPr>
          <w:instrText xml:space="preserve"> PAGEREF _Toc20148463 \h </w:instrText>
        </w:r>
        <w:r w:rsidR="00487553">
          <w:rPr>
            <w:webHidden/>
          </w:rPr>
        </w:r>
        <w:r w:rsidR="00487553">
          <w:rPr>
            <w:webHidden/>
          </w:rPr>
          <w:fldChar w:fldCharType="separate"/>
        </w:r>
        <w:r w:rsidR="00A0463E">
          <w:rPr>
            <w:webHidden/>
          </w:rPr>
          <w:t>51</w:t>
        </w:r>
        <w:r w:rsidR="00487553">
          <w:rPr>
            <w:webHidden/>
          </w:rPr>
          <w:fldChar w:fldCharType="end"/>
        </w:r>
      </w:hyperlink>
    </w:p>
    <w:p w14:paraId="4D609FCB" w14:textId="77777777" w:rsidR="00487553" w:rsidRDefault="00E51D7B">
      <w:pPr>
        <w:pStyle w:val="20"/>
        <w:rPr>
          <w:rFonts w:asciiTheme="minorHAnsi" w:eastAsiaTheme="minorEastAsia" w:hAnsiTheme="minorHAnsi" w:cstheme="minorBidi"/>
          <w:smallCaps w:val="0"/>
          <w:szCs w:val="22"/>
        </w:rPr>
      </w:pPr>
      <w:hyperlink w:anchor="_Toc20148464"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估值日</w:t>
        </w:r>
        <w:r w:rsidR="00487553">
          <w:rPr>
            <w:webHidden/>
          </w:rPr>
          <w:tab/>
        </w:r>
        <w:r w:rsidR="00487553">
          <w:rPr>
            <w:webHidden/>
          </w:rPr>
          <w:fldChar w:fldCharType="begin"/>
        </w:r>
        <w:r w:rsidR="00487553">
          <w:rPr>
            <w:webHidden/>
          </w:rPr>
          <w:instrText xml:space="preserve"> PAGEREF _Toc20148464 \h </w:instrText>
        </w:r>
        <w:r w:rsidR="00487553">
          <w:rPr>
            <w:webHidden/>
          </w:rPr>
        </w:r>
        <w:r w:rsidR="00487553">
          <w:rPr>
            <w:webHidden/>
          </w:rPr>
          <w:fldChar w:fldCharType="separate"/>
        </w:r>
        <w:r w:rsidR="00A0463E">
          <w:rPr>
            <w:webHidden/>
          </w:rPr>
          <w:t>51</w:t>
        </w:r>
        <w:r w:rsidR="00487553">
          <w:rPr>
            <w:webHidden/>
          </w:rPr>
          <w:fldChar w:fldCharType="end"/>
        </w:r>
      </w:hyperlink>
    </w:p>
    <w:p w14:paraId="0EDF1387" w14:textId="77777777" w:rsidR="00487553" w:rsidRDefault="00E51D7B">
      <w:pPr>
        <w:pStyle w:val="20"/>
        <w:rPr>
          <w:rFonts w:asciiTheme="minorHAnsi" w:eastAsiaTheme="minorEastAsia" w:hAnsiTheme="minorHAnsi" w:cstheme="minorBidi"/>
          <w:smallCaps w:val="0"/>
          <w:szCs w:val="22"/>
        </w:rPr>
      </w:pPr>
      <w:hyperlink w:anchor="_Toc20148465"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估值对象</w:t>
        </w:r>
        <w:r w:rsidR="00487553">
          <w:rPr>
            <w:webHidden/>
          </w:rPr>
          <w:tab/>
        </w:r>
        <w:r w:rsidR="00487553">
          <w:rPr>
            <w:webHidden/>
          </w:rPr>
          <w:fldChar w:fldCharType="begin"/>
        </w:r>
        <w:r w:rsidR="00487553">
          <w:rPr>
            <w:webHidden/>
          </w:rPr>
          <w:instrText xml:space="preserve"> PAGEREF _Toc20148465 \h </w:instrText>
        </w:r>
        <w:r w:rsidR="00487553">
          <w:rPr>
            <w:webHidden/>
          </w:rPr>
        </w:r>
        <w:r w:rsidR="00487553">
          <w:rPr>
            <w:webHidden/>
          </w:rPr>
          <w:fldChar w:fldCharType="separate"/>
        </w:r>
        <w:r w:rsidR="00A0463E">
          <w:rPr>
            <w:webHidden/>
          </w:rPr>
          <w:t>51</w:t>
        </w:r>
        <w:r w:rsidR="00487553">
          <w:rPr>
            <w:webHidden/>
          </w:rPr>
          <w:fldChar w:fldCharType="end"/>
        </w:r>
      </w:hyperlink>
    </w:p>
    <w:p w14:paraId="1EFCE149" w14:textId="77777777" w:rsidR="00487553" w:rsidRDefault="00E51D7B">
      <w:pPr>
        <w:pStyle w:val="20"/>
        <w:rPr>
          <w:rFonts w:asciiTheme="minorHAnsi" w:eastAsiaTheme="minorEastAsia" w:hAnsiTheme="minorHAnsi" w:cstheme="minorBidi"/>
          <w:smallCaps w:val="0"/>
          <w:szCs w:val="22"/>
        </w:rPr>
      </w:pPr>
      <w:hyperlink w:anchor="_Toc20148466"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估值方法</w:t>
        </w:r>
        <w:r w:rsidR="00487553">
          <w:rPr>
            <w:webHidden/>
          </w:rPr>
          <w:tab/>
        </w:r>
        <w:r w:rsidR="00487553">
          <w:rPr>
            <w:webHidden/>
          </w:rPr>
          <w:fldChar w:fldCharType="begin"/>
        </w:r>
        <w:r w:rsidR="00487553">
          <w:rPr>
            <w:webHidden/>
          </w:rPr>
          <w:instrText xml:space="preserve"> PAGEREF _Toc20148466 \h </w:instrText>
        </w:r>
        <w:r w:rsidR="00487553">
          <w:rPr>
            <w:webHidden/>
          </w:rPr>
        </w:r>
        <w:r w:rsidR="00487553">
          <w:rPr>
            <w:webHidden/>
          </w:rPr>
          <w:fldChar w:fldCharType="separate"/>
        </w:r>
        <w:r w:rsidR="00A0463E">
          <w:rPr>
            <w:webHidden/>
          </w:rPr>
          <w:t>51</w:t>
        </w:r>
        <w:r w:rsidR="00487553">
          <w:rPr>
            <w:webHidden/>
          </w:rPr>
          <w:fldChar w:fldCharType="end"/>
        </w:r>
      </w:hyperlink>
    </w:p>
    <w:p w14:paraId="665B6CAF" w14:textId="77777777" w:rsidR="00487553" w:rsidRDefault="00E51D7B">
      <w:pPr>
        <w:pStyle w:val="20"/>
        <w:rPr>
          <w:rFonts w:asciiTheme="minorHAnsi" w:eastAsiaTheme="minorEastAsia" w:hAnsiTheme="minorHAnsi" w:cstheme="minorBidi"/>
          <w:smallCaps w:val="0"/>
          <w:szCs w:val="22"/>
        </w:rPr>
      </w:pPr>
      <w:hyperlink w:anchor="_Toc20148467"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估值程序</w:t>
        </w:r>
        <w:r w:rsidR="00487553">
          <w:rPr>
            <w:webHidden/>
          </w:rPr>
          <w:tab/>
        </w:r>
        <w:r w:rsidR="00487553">
          <w:rPr>
            <w:webHidden/>
          </w:rPr>
          <w:fldChar w:fldCharType="begin"/>
        </w:r>
        <w:r w:rsidR="00487553">
          <w:rPr>
            <w:webHidden/>
          </w:rPr>
          <w:instrText xml:space="preserve"> PAGEREF _Toc20148467 \h </w:instrText>
        </w:r>
        <w:r w:rsidR="00487553">
          <w:rPr>
            <w:webHidden/>
          </w:rPr>
        </w:r>
        <w:r w:rsidR="00487553">
          <w:rPr>
            <w:webHidden/>
          </w:rPr>
          <w:fldChar w:fldCharType="separate"/>
        </w:r>
        <w:r w:rsidR="00A0463E">
          <w:rPr>
            <w:webHidden/>
          </w:rPr>
          <w:t>52</w:t>
        </w:r>
        <w:r w:rsidR="00487553">
          <w:rPr>
            <w:webHidden/>
          </w:rPr>
          <w:fldChar w:fldCharType="end"/>
        </w:r>
      </w:hyperlink>
    </w:p>
    <w:p w14:paraId="5C655422" w14:textId="77777777" w:rsidR="00487553" w:rsidRDefault="00E51D7B">
      <w:pPr>
        <w:pStyle w:val="20"/>
        <w:rPr>
          <w:rFonts w:asciiTheme="minorHAnsi" w:eastAsiaTheme="minorEastAsia" w:hAnsiTheme="minorHAnsi" w:cstheme="minorBidi"/>
          <w:smallCaps w:val="0"/>
          <w:szCs w:val="22"/>
        </w:rPr>
      </w:pPr>
      <w:hyperlink w:anchor="_Toc20148468" w:history="1">
        <w:r w:rsidR="00487553" w:rsidRPr="00981BD2">
          <w:rPr>
            <w:rStyle w:val="af2"/>
            <w:rFonts w:asciiTheme="minorEastAsia" w:hAnsiTheme="minorEastAsia" w:hint="eastAsia"/>
          </w:rPr>
          <w:t>六、</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暂停估值的情形</w:t>
        </w:r>
        <w:r w:rsidR="00487553">
          <w:rPr>
            <w:webHidden/>
          </w:rPr>
          <w:tab/>
        </w:r>
        <w:r w:rsidR="00487553">
          <w:rPr>
            <w:webHidden/>
          </w:rPr>
          <w:fldChar w:fldCharType="begin"/>
        </w:r>
        <w:r w:rsidR="00487553">
          <w:rPr>
            <w:webHidden/>
          </w:rPr>
          <w:instrText xml:space="preserve"> PAGEREF _Toc20148468 \h </w:instrText>
        </w:r>
        <w:r w:rsidR="00487553">
          <w:rPr>
            <w:webHidden/>
          </w:rPr>
        </w:r>
        <w:r w:rsidR="00487553">
          <w:rPr>
            <w:webHidden/>
          </w:rPr>
          <w:fldChar w:fldCharType="separate"/>
        </w:r>
        <w:r w:rsidR="00A0463E">
          <w:rPr>
            <w:webHidden/>
          </w:rPr>
          <w:t>53</w:t>
        </w:r>
        <w:r w:rsidR="00487553">
          <w:rPr>
            <w:webHidden/>
          </w:rPr>
          <w:fldChar w:fldCharType="end"/>
        </w:r>
      </w:hyperlink>
    </w:p>
    <w:p w14:paraId="36597F08" w14:textId="77777777" w:rsidR="00487553" w:rsidRDefault="00E51D7B">
      <w:pPr>
        <w:pStyle w:val="20"/>
        <w:rPr>
          <w:rFonts w:asciiTheme="minorHAnsi" w:eastAsiaTheme="minorEastAsia" w:hAnsiTheme="minorHAnsi" w:cstheme="minorBidi"/>
          <w:smallCaps w:val="0"/>
          <w:szCs w:val="22"/>
        </w:rPr>
      </w:pPr>
      <w:hyperlink w:anchor="_Toc20148469" w:history="1">
        <w:r w:rsidR="00487553" w:rsidRPr="00981BD2">
          <w:rPr>
            <w:rStyle w:val="af2"/>
            <w:rFonts w:asciiTheme="minorEastAsia" w:hAnsiTheme="minorEastAsia" w:hint="eastAsia"/>
          </w:rPr>
          <w:t>七、</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基金份额净值的确认</w:t>
        </w:r>
        <w:r w:rsidR="00487553">
          <w:rPr>
            <w:webHidden/>
          </w:rPr>
          <w:tab/>
        </w:r>
        <w:r w:rsidR="00487553">
          <w:rPr>
            <w:webHidden/>
          </w:rPr>
          <w:fldChar w:fldCharType="begin"/>
        </w:r>
        <w:r w:rsidR="00487553">
          <w:rPr>
            <w:webHidden/>
          </w:rPr>
          <w:instrText xml:space="preserve"> PAGEREF _Toc20148469 \h </w:instrText>
        </w:r>
        <w:r w:rsidR="00487553">
          <w:rPr>
            <w:webHidden/>
          </w:rPr>
        </w:r>
        <w:r w:rsidR="00487553">
          <w:rPr>
            <w:webHidden/>
          </w:rPr>
          <w:fldChar w:fldCharType="separate"/>
        </w:r>
        <w:r w:rsidR="00A0463E">
          <w:rPr>
            <w:webHidden/>
          </w:rPr>
          <w:t>53</w:t>
        </w:r>
        <w:r w:rsidR="00487553">
          <w:rPr>
            <w:webHidden/>
          </w:rPr>
          <w:fldChar w:fldCharType="end"/>
        </w:r>
      </w:hyperlink>
    </w:p>
    <w:p w14:paraId="226B3837" w14:textId="77777777" w:rsidR="00487553" w:rsidRDefault="00E51D7B">
      <w:pPr>
        <w:pStyle w:val="20"/>
        <w:rPr>
          <w:rFonts w:asciiTheme="minorHAnsi" w:eastAsiaTheme="minorEastAsia" w:hAnsiTheme="minorHAnsi" w:cstheme="minorBidi"/>
          <w:smallCaps w:val="0"/>
          <w:szCs w:val="22"/>
        </w:rPr>
      </w:pPr>
      <w:hyperlink w:anchor="_Toc20148470" w:history="1">
        <w:r w:rsidR="00487553" w:rsidRPr="00981BD2">
          <w:rPr>
            <w:rStyle w:val="af2"/>
            <w:rFonts w:asciiTheme="minorEastAsia" w:hAnsiTheme="minorEastAsia" w:hint="eastAsia"/>
          </w:rPr>
          <w:t>八、</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估值错误的处理</w:t>
        </w:r>
        <w:r w:rsidR="00487553">
          <w:rPr>
            <w:webHidden/>
          </w:rPr>
          <w:tab/>
        </w:r>
        <w:r w:rsidR="00487553">
          <w:rPr>
            <w:webHidden/>
          </w:rPr>
          <w:fldChar w:fldCharType="begin"/>
        </w:r>
        <w:r w:rsidR="00487553">
          <w:rPr>
            <w:webHidden/>
          </w:rPr>
          <w:instrText xml:space="preserve"> PAGEREF _Toc20148470 \h </w:instrText>
        </w:r>
        <w:r w:rsidR="00487553">
          <w:rPr>
            <w:webHidden/>
          </w:rPr>
        </w:r>
        <w:r w:rsidR="00487553">
          <w:rPr>
            <w:webHidden/>
          </w:rPr>
          <w:fldChar w:fldCharType="separate"/>
        </w:r>
        <w:r w:rsidR="00A0463E">
          <w:rPr>
            <w:webHidden/>
          </w:rPr>
          <w:t>53</w:t>
        </w:r>
        <w:r w:rsidR="00487553">
          <w:rPr>
            <w:webHidden/>
          </w:rPr>
          <w:fldChar w:fldCharType="end"/>
        </w:r>
      </w:hyperlink>
    </w:p>
    <w:p w14:paraId="06585573" w14:textId="77777777" w:rsidR="00487553" w:rsidRDefault="00E51D7B">
      <w:pPr>
        <w:pStyle w:val="20"/>
        <w:rPr>
          <w:rFonts w:asciiTheme="minorHAnsi" w:eastAsiaTheme="minorEastAsia" w:hAnsiTheme="minorHAnsi" w:cstheme="minorBidi"/>
          <w:smallCaps w:val="0"/>
          <w:szCs w:val="22"/>
        </w:rPr>
      </w:pPr>
      <w:hyperlink w:anchor="_Toc20148471" w:history="1">
        <w:r w:rsidR="00487553" w:rsidRPr="00981BD2">
          <w:rPr>
            <w:rStyle w:val="af2"/>
            <w:rFonts w:asciiTheme="minorEastAsia" w:hAnsiTheme="minorEastAsia" w:hint="eastAsia"/>
          </w:rPr>
          <w:t>九、</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特殊情形的处理</w:t>
        </w:r>
        <w:r w:rsidR="00487553">
          <w:rPr>
            <w:webHidden/>
          </w:rPr>
          <w:tab/>
        </w:r>
        <w:r w:rsidR="00487553">
          <w:rPr>
            <w:webHidden/>
          </w:rPr>
          <w:fldChar w:fldCharType="begin"/>
        </w:r>
        <w:r w:rsidR="00487553">
          <w:rPr>
            <w:webHidden/>
          </w:rPr>
          <w:instrText xml:space="preserve"> PAGEREF _Toc20148471 \h </w:instrText>
        </w:r>
        <w:r w:rsidR="00487553">
          <w:rPr>
            <w:webHidden/>
          </w:rPr>
        </w:r>
        <w:r w:rsidR="00487553">
          <w:rPr>
            <w:webHidden/>
          </w:rPr>
          <w:fldChar w:fldCharType="separate"/>
        </w:r>
        <w:r w:rsidR="00A0463E">
          <w:rPr>
            <w:webHidden/>
          </w:rPr>
          <w:t>55</w:t>
        </w:r>
        <w:r w:rsidR="00487553">
          <w:rPr>
            <w:webHidden/>
          </w:rPr>
          <w:fldChar w:fldCharType="end"/>
        </w:r>
      </w:hyperlink>
    </w:p>
    <w:p w14:paraId="05D2CA7D"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72" w:history="1">
        <w:r w:rsidR="00487553" w:rsidRPr="00981BD2">
          <w:rPr>
            <w:rStyle w:val="af2"/>
            <w:rFonts w:asciiTheme="minorEastAsia" w:hAnsiTheme="minorEastAsia" w:hint="eastAsia"/>
          </w:rPr>
          <w:t>第十四节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基金的收益与分配</w:t>
        </w:r>
        <w:r w:rsidR="00487553">
          <w:rPr>
            <w:webHidden/>
          </w:rPr>
          <w:tab/>
        </w:r>
        <w:r w:rsidR="00487553">
          <w:rPr>
            <w:webHidden/>
          </w:rPr>
          <w:fldChar w:fldCharType="begin"/>
        </w:r>
        <w:r w:rsidR="00487553">
          <w:rPr>
            <w:webHidden/>
          </w:rPr>
          <w:instrText xml:space="preserve"> PAGEREF _Toc20148472 \h </w:instrText>
        </w:r>
        <w:r w:rsidR="00487553">
          <w:rPr>
            <w:webHidden/>
          </w:rPr>
        </w:r>
        <w:r w:rsidR="00487553">
          <w:rPr>
            <w:webHidden/>
          </w:rPr>
          <w:fldChar w:fldCharType="separate"/>
        </w:r>
        <w:r w:rsidR="00A0463E">
          <w:rPr>
            <w:webHidden/>
          </w:rPr>
          <w:t>56</w:t>
        </w:r>
        <w:r w:rsidR="00487553">
          <w:rPr>
            <w:webHidden/>
          </w:rPr>
          <w:fldChar w:fldCharType="end"/>
        </w:r>
      </w:hyperlink>
    </w:p>
    <w:p w14:paraId="02AEC93F" w14:textId="77777777" w:rsidR="00487553" w:rsidRDefault="00E51D7B">
      <w:pPr>
        <w:pStyle w:val="20"/>
        <w:rPr>
          <w:rFonts w:asciiTheme="minorHAnsi" w:eastAsiaTheme="minorEastAsia" w:hAnsiTheme="minorHAnsi" w:cstheme="minorBidi"/>
          <w:smallCaps w:val="0"/>
          <w:szCs w:val="22"/>
        </w:rPr>
      </w:pPr>
      <w:hyperlink w:anchor="_Toc20148473"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基金利润的构成</w:t>
        </w:r>
        <w:r w:rsidR="00487553">
          <w:rPr>
            <w:webHidden/>
          </w:rPr>
          <w:tab/>
        </w:r>
        <w:r w:rsidR="00487553">
          <w:rPr>
            <w:webHidden/>
          </w:rPr>
          <w:fldChar w:fldCharType="begin"/>
        </w:r>
        <w:r w:rsidR="00487553">
          <w:rPr>
            <w:webHidden/>
          </w:rPr>
          <w:instrText xml:space="preserve"> PAGEREF _Toc20148473 \h </w:instrText>
        </w:r>
        <w:r w:rsidR="00487553">
          <w:rPr>
            <w:webHidden/>
          </w:rPr>
        </w:r>
        <w:r w:rsidR="00487553">
          <w:rPr>
            <w:webHidden/>
          </w:rPr>
          <w:fldChar w:fldCharType="separate"/>
        </w:r>
        <w:r w:rsidR="00A0463E">
          <w:rPr>
            <w:webHidden/>
          </w:rPr>
          <w:t>56</w:t>
        </w:r>
        <w:r w:rsidR="00487553">
          <w:rPr>
            <w:webHidden/>
          </w:rPr>
          <w:fldChar w:fldCharType="end"/>
        </w:r>
      </w:hyperlink>
    </w:p>
    <w:p w14:paraId="066B3355" w14:textId="77777777" w:rsidR="00487553" w:rsidRDefault="00E51D7B">
      <w:pPr>
        <w:pStyle w:val="20"/>
        <w:rPr>
          <w:rFonts w:asciiTheme="minorHAnsi" w:eastAsiaTheme="minorEastAsia" w:hAnsiTheme="minorHAnsi" w:cstheme="minorBidi"/>
          <w:smallCaps w:val="0"/>
          <w:szCs w:val="22"/>
        </w:rPr>
      </w:pPr>
      <w:hyperlink w:anchor="_Toc20148474"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基金可供分配利润</w:t>
        </w:r>
        <w:r w:rsidR="00487553">
          <w:rPr>
            <w:webHidden/>
          </w:rPr>
          <w:tab/>
        </w:r>
        <w:r w:rsidR="00487553">
          <w:rPr>
            <w:webHidden/>
          </w:rPr>
          <w:fldChar w:fldCharType="begin"/>
        </w:r>
        <w:r w:rsidR="00487553">
          <w:rPr>
            <w:webHidden/>
          </w:rPr>
          <w:instrText xml:space="preserve"> PAGEREF _Toc20148474 \h </w:instrText>
        </w:r>
        <w:r w:rsidR="00487553">
          <w:rPr>
            <w:webHidden/>
          </w:rPr>
        </w:r>
        <w:r w:rsidR="00487553">
          <w:rPr>
            <w:webHidden/>
          </w:rPr>
          <w:fldChar w:fldCharType="separate"/>
        </w:r>
        <w:r w:rsidR="00A0463E">
          <w:rPr>
            <w:webHidden/>
          </w:rPr>
          <w:t>56</w:t>
        </w:r>
        <w:r w:rsidR="00487553">
          <w:rPr>
            <w:webHidden/>
          </w:rPr>
          <w:fldChar w:fldCharType="end"/>
        </w:r>
      </w:hyperlink>
    </w:p>
    <w:p w14:paraId="599CF542" w14:textId="77777777" w:rsidR="00487553" w:rsidRDefault="00E51D7B">
      <w:pPr>
        <w:pStyle w:val="20"/>
        <w:rPr>
          <w:rFonts w:asciiTheme="minorHAnsi" w:eastAsiaTheme="minorEastAsia" w:hAnsiTheme="minorHAnsi" w:cstheme="minorBidi"/>
          <w:smallCaps w:val="0"/>
          <w:szCs w:val="22"/>
        </w:rPr>
      </w:pPr>
      <w:hyperlink w:anchor="_Toc20148475"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基金收益分配原则</w:t>
        </w:r>
        <w:r w:rsidR="00487553">
          <w:rPr>
            <w:webHidden/>
          </w:rPr>
          <w:tab/>
        </w:r>
        <w:r w:rsidR="00487553">
          <w:rPr>
            <w:webHidden/>
          </w:rPr>
          <w:fldChar w:fldCharType="begin"/>
        </w:r>
        <w:r w:rsidR="00487553">
          <w:rPr>
            <w:webHidden/>
          </w:rPr>
          <w:instrText xml:space="preserve"> PAGEREF _Toc20148475 \h </w:instrText>
        </w:r>
        <w:r w:rsidR="00487553">
          <w:rPr>
            <w:webHidden/>
          </w:rPr>
        </w:r>
        <w:r w:rsidR="00487553">
          <w:rPr>
            <w:webHidden/>
          </w:rPr>
          <w:fldChar w:fldCharType="separate"/>
        </w:r>
        <w:r w:rsidR="00A0463E">
          <w:rPr>
            <w:webHidden/>
          </w:rPr>
          <w:t>56</w:t>
        </w:r>
        <w:r w:rsidR="00487553">
          <w:rPr>
            <w:webHidden/>
          </w:rPr>
          <w:fldChar w:fldCharType="end"/>
        </w:r>
      </w:hyperlink>
    </w:p>
    <w:p w14:paraId="7579CA58" w14:textId="77777777" w:rsidR="00487553" w:rsidRDefault="00E51D7B">
      <w:pPr>
        <w:pStyle w:val="20"/>
        <w:rPr>
          <w:rFonts w:asciiTheme="minorHAnsi" w:eastAsiaTheme="minorEastAsia" w:hAnsiTheme="minorHAnsi" w:cstheme="minorBidi"/>
          <w:smallCaps w:val="0"/>
          <w:szCs w:val="22"/>
        </w:rPr>
      </w:pPr>
      <w:hyperlink w:anchor="_Toc20148476"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收益分配方案</w:t>
        </w:r>
        <w:r w:rsidR="00487553">
          <w:rPr>
            <w:webHidden/>
          </w:rPr>
          <w:tab/>
        </w:r>
        <w:r w:rsidR="00487553">
          <w:rPr>
            <w:webHidden/>
          </w:rPr>
          <w:fldChar w:fldCharType="begin"/>
        </w:r>
        <w:r w:rsidR="00487553">
          <w:rPr>
            <w:webHidden/>
          </w:rPr>
          <w:instrText xml:space="preserve"> PAGEREF _Toc20148476 \h </w:instrText>
        </w:r>
        <w:r w:rsidR="00487553">
          <w:rPr>
            <w:webHidden/>
          </w:rPr>
        </w:r>
        <w:r w:rsidR="00487553">
          <w:rPr>
            <w:webHidden/>
          </w:rPr>
          <w:fldChar w:fldCharType="separate"/>
        </w:r>
        <w:r w:rsidR="00A0463E">
          <w:rPr>
            <w:webHidden/>
          </w:rPr>
          <w:t>56</w:t>
        </w:r>
        <w:r w:rsidR="00487553">
          <w:rPr>
            <w:webHidden/>
          </w:rPr>
          <w:fldChar w:fldCharType="end"/>
        </w:r>
      </w:hyperlink>
    </w:p>
    <w:p w14:paraId="5C5479AB" w14:textId="77777777" w:rsidR="00487553" w:rsidRDefault="00E51D7B">
      <w:pPr>
        <w:pStyle w:val="20"/>
        <w:rPr>
          <w:rFonts w:asciiTheme="minorHAnsi" w:eastAsiaTheme="minorEastAsia" w:hAnsiTheme="minorHAnsi" w:cstheme="minorBidi"/>
          <w:smallCaps w:val="0"/>
          <w:szCs w:val="22"/>
        </w:rPr>
      </w:pPr>
      <w:hyperlink w:anchor="_Toc20148477"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收益分配方案的确定、公告与实施</w:t>
        </w:r>
        <w:r w:rsidR="00487553">
          <w:rPr>
            <w:webHidden/>
          </w:rPr>
          <w:tab/>
        </w:r>
        <w:r w:rsidR="00487553">
          <w:rPr>
            <w:webHidden/>
          </w:rPr>
          <w:fldChar w:fldCharType="begin"/>
        </w:r>
        <w:r w:rsidR="00487553">
          <w:rPr>
            <w:webHidden/>
          </w:rPr>
          <w:instrText xml:space="preserve"> PAGEREF _Toc20148477 \h </w:instrText>
        </w:r>
        <w:r w:rsidR="00487553">
          <w:rPr>
            <w:webHidden/>
          </w:rPr>
        </w:r>
        <w:r w:rsidR="00487553">
          <w:rPr>
            <w:webHidden/>
          </w:rPr>
          <w:fldChar w:fldCharType="separate"/>
        </w:r>
        <w:r w:rsidR="00A0463E">
          <w:rPr>
            <w:webHidden/>
          </w:rPr>
          <w:t>56</w:t>
        </w:r>
        <w:r w:rsidR="00487553">
          <w:rPr>
            <w:webHidden/>
          </w:rPr>
          <w:fldChar w:fldCharType="end"/>
        </w:r>
      </w:hyperlink>
    </w:p>
    <w:p w14:paraId="2FCC7DF2" w14:textId="77777777" w:rsidR="00487553" w:rsidRDefault="00E51D7B">
      <w:pPr>
        <w:pStyle w:val="20"/>
        <w:rPr>
          <w:rFonts w:asciiTheme="minorHAnsi" w:eastAsiaTheme="minorEastAsia" w:hAnsiTheme="minorHAnsi" w:cstheme="minorBidi"/>
          <w:smallCaps w:val="0"/>
          <w:szCs w:val="22"/>
        </w:rPr>
      </w:pPr>
      <w:hyperlink w:anchor="_Toc20148478" w:history="1">
        <w:r w:rsidR="00487553" w:rsidRPr="00981BD2">
          <w:rPr>
            <w:rStyle w:val="af2"/>
            <w:rFonts w:asciiTheme="minorEastAsia" w:hAnsiTheme="minorEastAsia" w:hint="eastAsia"/>
          </w:rPr>
          <w:t>六、</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基金收益分配中发生的费用</w:t>
        </w:r>
        <w:r w:rsidR="00487553">
          <w:rPr>
            <w:webHidden/>
          </w:rPr>
          <w:tab/>
        </w:r>
        <w:r w:rsidR="00487553">
          <w:rPr>
            <w:webHidden/>
          </w:rPr>
          <w:fldChar w:fldCharType="begin"/>
        </w:r>
        <w:r w:rsidR="00487553">
          <w:rPr>
            <w:webHidden/>
          </w:rPr>
          <w:instrText xml:space="preserve"> PAGEREF _Toc20148478 \h </w:instrText>
        </w:r>
        <w:r w:rsidR="00487553">
          <w:rPr>
            <w:webHidden/>
          </w:rPr>
        </w:r>
        <w:r w:rsidR="00487553">
          <w:rPr>
            <w:webHidden/>
          </w:rPr>
          <w:fldChar w:fldCharType="separate"/>
        </w:r>
        <w:r w:rsidR="00A0463E">
          <w:rPr>
            <w:webHidden/>
          </w:rPr>
          <w:t>57</w:t>
        </w:r>
        <w:r w:rsidR="00487553">
          <w:rPr>
            <w:webHidden/>
          </w:rPr>
          <w:fldChar w:fldCharType="end"/>
        </w:r>
      </w:hyperlink>
    </w:p>
    <w:p w14:paraId="53088B2C"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79" w:history="1">
        <w:r w:rsidR="00487553" w:rsidRPr="00981BD2">
          <w:rPr>
            <w:rStyle w:val="af2"/>
            <w:rFonts w:asciiTheme="minorEastAsia" w:hAnsiTheme="minorEastAsia" w:hint="eastAsia"/>
          </w:rPr>
          <w:t>第十五节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基金的会计与审计</w:t>
        </w:r>
        <w:r w:rsidR="00487553">
          <w:rPr>
            <w:webHidden/>
          </w:rPr>
          <w:tab/>
        </w:r>
        <w:r w:rsidR="00487553">
          <w:rPr>
            <w:webHidden/>
          </w:rPr>
          <w:fldChar w:fldCharType="begin"/>
        </w:r>
        <w:r w:rsidR="00487553">
          <w:rPr>
            <w:webHidden/>
          </w:rPr>
          <w:instrText xml:space="preserve"> PAGEREF _Toc20148479 \h </w:instrText>
        </w:r>
        <w:r w:rsidR="00487553">
          <w:rPr>
            <w:webHidden/>
          </w:rPr>
        </w:r>
        <w:r w:rsidR="00487553">
          <w:rPr>
            <w:webHidden/>
          </w:rPr>
          <w:fldChar w:fldCharType="separate"/>
        </w:r>
        <w:r w:rsidR="00A0463E">
          <w:rPr>
            <w:webHidden/>
          </w:rPr>
          <w:t>58</w:t>
        </w:r>
        <w:r w:rsidR="00487553">
          <w:rPr>
            <w:webHidden/>
          </w:rPr>
          <w:fldChar w:fldCharType="end"/>
        </w:r>
      </w:hyperlink>
    </w:p>
    <w:p w14:paraId="09D00429" w14:textId="77777777" w:rsidR="00487553" w:rsidRDefault="00E51D7B">
      <w:pPr>
        <w:pStyle w:val="20"/>
        <w:rPr>
          <w:rFonts w:asciiTheme="minorHAnsi" w:eastAsiaTheme="minorEastAsia" w:hAnsiTheme="minorHAnsi" w:cstheme="minorBidi"/>
          <w:smallCaps w:val="0"/>
          <w:szCs w:val="22"/>
        </w:rPr>
      </w:pPr>
      <w:hyperlink w:anchor="_Toc20148480"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基金会计政策</w:t>
        </w:r>
        <w:r w:rsidR="00487553">
          <w:rPr>
            <w:webHidden/>
          </w:rPr>
          <w:tab/>
        </w:r>
        <w:r w:rsidR="00487553">
          <w:rPr>
            <w:webHidden/>
          </w:rPr>
          <w:fldChar w:fldCharType="begin"/>
        </w:r>
        <w:r w:rsidR="00487553">
          <w:rPr>
            <w:webHidden/>
          </w:rPr>
          <w:instrText xml:space="preserve"> PAGEREF _Toc20148480 \h </w:instrText>
        </w:r>
        <w:r w:rsidR="00487553">
          <w:rPr>
            <w:webHidden/>
          </w:rPr>
        </w:r>
        <w:r w:rsidR="00487553">
          <w:rPr>
            <w:webHidden/>
          </w:rPr>
          <w:fldChar w:fldCharType="separate"/>
        </w:r>
        <w:r w:rsidR="00A0463E">
          <w:rPr>
            <w:webHidden/>
          </w:rPr>
          <w:t>58</w:t>
        </w:r>
        <w:r w:rsidR="00487553">
          <w:rPr>
            <w:webHidden/>
          </w:rPr>
          <w:fldChar w:fldCharType="end"/>
        </w:r>
      </w:hyperlink>
    </w:p>
    <w:p w14:paraId="0C3C3EF6" w14:textId="77777777" w:rsidR="00487553" w:rsidRDefault="00E51D7B">
      <w:pPr>
        <w:pStyle w:val="20"/>
        <w:rPr>
          <w:rFonts w:asciiTheme="minorHAnsi" w:eastAsiaTheme="minorEastAsia" w:hAnsiTheme="minorHAnsi" w:cstheme="minorBidi"/>
          <w:smallCaps w:val="0"/>
          <w:szCs w:val="22"/>
        </w:rPr>
      </w:pPr>
      <w:hyperlink w:anchor="_Toc20148481"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基金年度审计</w:t>
        </w:r>
        <w:r w:rsidR="00487553">
          <w:rPr>
            <w:webHidden/>
          </w:rPr>
          <w:tab/>
        </w:r>
        <w:r w:rsidR="00487553">
          <w:rPr>
            <w:webHidden/>
          </w:rPr>
          <w:fldChar w:fldCharType="begin"/>
        </w:r>
        <w:r w:rsidR="00487553">
          <w:rPr>
            <w:webHidden/>
          </w:rPr>
          <w:instrText xml:space="preserve"> PAGEREF _Toc20148481 \h </w:instrText>
        </w:r>
        <w:r w:rsidR="00487553">
          <w:rPr>
            <w:webHidden/>
          </w:rPr>
        </w:r>
        <w:r w:rsidR="00487553">
          <w:rPr>
            <w:webHidden/>
          </w:rPr>
          <w:fldChar w:fldCharType="separate"/>
        </w:r>
        <w:r w:rsidR="00A0463E">
          <w:rPr>
            <w:webHidden/>
          </w:rPr>
          <w:t>58</w:t>
        </w:r>
        <w:r w:rsidR="00487553">
          <w:rPr>
            <w:webHidden/>
          </w:rPr>
          <w:fldChar w:fldCharType="end"/>
        </w:r>
      </w:hyperlink>
    </w:p>
    <w:p w14:paraId="7E482154"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82" w:history="1">
        <w:r w:rsidR="00487553" w:rsidRPr="00981BD2">
          <w:rPr>
            <w:rStyle w:val="af2"/>
            <w:rFonts w:asciiTheme="minorEastAsia" w:hAnsiTheme="minorEastAsia" w:hint="eastAsia"/>
            <w:bCs/>
          </w:rPr>
          <w:t>第十六节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bCs/>
          </w:rPr>
          <w:t>基金的信息披露</w:t>
        </w:r>
        <w:r w:rsidR="00487553">
          <w:rPr>
            <w:webHidden/>
          </w:rPr>
          <w:tab/>
        </w:r>
        <w:r w:rsidR="00487553">
          <w:rPr>
            <w:webHidden/>
          </w:rPr>
          <w:fldChar w:fldCharType="begin"/>
        </w:r>
        <w:r w:rsidR="00487553">
          <w:rPr>
            <w:webHidden/>
          </w:rPr>
          <w:instrText xml:space="preserve"> PAGEREF _Toc20148482 \h </w:instrText>
        </w:r>
        <w:r w:rsidR="00487553">
          <w:rPr>
            <w:webHidden/>
          </w:rPr>
        </w:r>
        <w:r w:rsidR="00487553">
          <w:rPr>
            <w:webHidden/>
          </w:rPr>
          <w:fldChar w:fldCharType="separate"/>
        </w:r>
        <w:r w:rsidR="00A0463E">
          <w:rPr>
            <w:webHidden/>
          </w:rPr>
          <w:t>59</w:t>
        </w:r>
        <w:r w:rsidR="00487553">
          <w:rPr>
            <w:webHidden/>
          </w:rPr>
          <w:fldChar w:fldCharType="end"/>
        </w:r>
      </w:hyperlink>
    </w:p>
    <w:p w14:paraId="30339C09" w14:textId="77777777" w:rsidR="00487553" w:rsidRDefault="00E51D7B">
      <w:pPr>
        <w:pStyle w:val="20"/>
        <w:rPr>
          <w:rFonts w:asciiTheme="minorHAnsi" w:eastAsiaTheme="minorEastAsia" w:hAnsiTheme="minorHAnsi" w:cstheme="minorBidi"/>
          <w:smallCaps w:val="0"/>
          <w:szCs w:val="22"/>
        </w:rPr>
      </w:pPr>
      <w:hyperlink w:anchor="_Toc20148483"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披露原则</w:t>
        </w:r>
        <w:r w:rsidR="00487553">
          <w:rPr>
            <w:webHidden/>
          </w:rPr>
          <w:tab/>
        </w:r>
        <w:r w:rsidR="00487553">
          <w:rPr>
            <w:webHidden/>
          </w:rPr>
          <w:fldChar w:fldCharType="begin"/>
        </w:r>
        <w:r w:rsidR="00487553">
          <w:rPr>
            <w:webHidden/>
          </w:rPr>
          <w:instrText xml:space="preserve"> PAGEREF _Toc20148483 \h </w:instrText>
        </w:r>
        <w:r w:rsidR="00487553">
          <w:rPr>
            <w:webHidden/>
          </w:rPr>
        </w:r>
        <w:r w:rsidR="00487553">
          <w:rPr>
            <w:webHidden/>
          </w:rPr>
          <w:fldChar w:fldCharType="separate"/>
        </w:r>
        <w:r w:rsidR="00A0463E">
          <w:rPr>
            <w:webHidden/>
          </w:rPr>
          <w:t>59</w:t>
        </w:r>
        <w:r w:rsidR="00487553">
          <w:rPr>
            <w:webHidden/>
          </w:rPr>
          <w:fldChar w:fldCharType="end"/>
        </w:r>
      </w:hyperlink>
    </w:p>
    <w:p w14:paraId="46F5DD4F" w14:textId="77777777" w:rsidR="00487553" w:rsidRDefault="00E51D7B">
      <w:pPr>
        <w:pStyle w:val="20"/>
        <w:rPr>
          <w:rFonts w:asciiTheme="minorHAnsi" w:eastAsiaTheme="minorEastAsia" w:hAnsiTheme="minorHAnsi" w:cstheme="minorBidi"/>
          <w:smallCaps w:val="0"/>
          <w:szCs w:val="22"/>
        </w:rPr>
      </w:pPr>
      <w:hyperlink w:anchor="_Toc20148484"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基金募集信息披露</w:t>
        </w:r>
        <w:r w:rsidR="00487553">
          <w:rPr>
            <w:webHidden/>
          </w:rPr>
          <w:tab/>
        </w:r>
        <w:r w:rsidR="00487553">
          <w:rPr>
            <w:webHidden/>
          </w:rPr>
          <w:fldChar w:fldCharType="begin"/>
        </w:r>
        <w:r w:rsidR="00487553">
          <w:rPr>
            <w:webHidden/>
          </w:rPr>
          <w:instrText xml:space="preserve"> PAGEREF _Toc20148484 \h </w:instrText>
        </w:r>
        <w:r w:rsidR="00487553">
          <w:rPr>
            <w:webHidden/>
          </w:rPr>
        </w:r>
        <w:r w:rsidR="00487553">
          <w:rPr>
            <w:webHidden/>
          </w:rPr>
          <w:fldChar w:fldCharType="separate"/>
        </w:r>
        <w:r w:rsidR="00A0463E">
          <w:rPr>
            <w:webHidden/>
          </w:rPr>
          <w:t>59</w:t>
        </w:r>
        <w:r w:rsidR="00487553">
          <w:rPr>
            <w:webHidden/>
          </w:rPr>
          <w:fldChar w:fldCharType="end"/>
        </w:r>
      </w:hyperlink>
    </w:p>
    <w:p w14:paraId="613809F2" w14:textId="77777777" w:rsidR="00487553" w:rsidRDefault="00E51D7B">
      <w:pPr>
        <w:pStyle w:val="20"/>
        <w:rPr>
          <w:rFonts w:asciiTheme="minorHAnsi" w:eastAsiaTheme="minorEastAsia" w:hAnsiTheme="minorHAnsi" w:cstheme="minorBidi"/>
          <w:smallCaps w:val="0"/>
          <w:szCs w:val="22"/>
        </w:rPr>
      </w:pPr>
      <w:hyperlink w:anchor="_Toc20148485"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定期报告</w:t>
        </w:r>
        <w:r w:rsidR="00487553">
          <w:rPr>
            <w:webHidden/>
          </w:rPr>
          <w:tab/>
        </w:r>
        <w:r w:rsidR="00487553">
          <w:rPr>
            <w:webHidden/>
          </w:rPr>
          <w:fldChar w:fldCharType="begin"/>
        </w:r>
        <w:r w:rsidR="00487553">
          <w:rPr>
            <w:webHidden/>
          </w:rPr>
          <w:instrText xml:space="preserve"> PAGEREF _Toc20148485 \h </w:instrText>
        </w:r>
        <w:r w:rsidR="00487553">
          <w:rPr>
            <w:webHidden/>
          </w:rPr>
        </w:r>
        <w:r w:rsidR="00487553">
          <w:rPr>
            <w:webHidden/>
          </w:rPr>
          <w:fldChar w:fldCharType="separate"/>
        </w:r>
        <w:r w:rsidR="00A0463E">
          <w:rPr>
            <w:webHidden/>
          </w:rPr>
          <w:t>59</w:t>
        </w:r>
        <w:r w:rsidR="00487553">
          <w:rPr>
            <w:webHidden/>
          </w:rPr>
          <w:fldChar w:fldCharType="end"/>
        </w:r>
      </w:hyperlink>
    </w:p>
    <w:p w14:paraId="3DE2787C" w14:textId="77777777" w:rsidR="00487553" w:rsidRDefault="00E51D7B">
      <w:pPr>
        <w:pStyle w:val="20"/>
        <w:rPr>
          <w:rFonts w:asciiTheme="minorHAnsi" w:eastAsiaTheme="minorEastAsia" w:hAnsiTheme="minorHAnsi" w:cstheme="minorBidi"/>
          <w:smallCaps w:val="0"/>
          <w:szCs w:val="22"/>
        </w:rPr>
      </w:pPr>
      <w:hyperlink w:anchor="_Toc20148486"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基金资产净值公告、基金份额净值公告和基金份额累计净值公告</w:t>
        </w:r>
        <w:r w:rsidR="00487553">
          <w:rPr>
            <w:webHidden/>
          </w:rPr>
          <w:tab/>
        </w:r>
        <w:r w:rsidR="00487553">
          <w:rPr>
            <w:webHidden/>
          </w:rPr>
          <w:fldChar w:fldCharType="begin"/>
        </w:r>
        <w:r w:rsidR="00487553">
          <w:rPr>
            <w:webHidden/>
          </w:rPr>
          <w:instrText xml:space="preserve"> PAGEREF _Toc20148486 \h </w:instrText>
        </w:r>
        <w:r w:rsidR="00487553">
          <w:rPr>
            <w:webHidden/>
          </w:rPr>
        </w:r>
        <w:r w:rsidR="00487553">
          <w:rPr>
            <w:webHidden/>
          </w:rPr>
          <w:fldChar w:fldCharType="separate"/>
        </w:r>
        <w:r w:rsidR="00A0463E">
          <w:rPr>
            <w:webHidden/>
          </w:rPr>
          <w:t>60</w:t>
        </w:r>
        <w:r w:rsidR="00487553">
          <w:rPr>
            <w:webHidden/>
          </w:rPr>
          <w:fldChar w:fldCharType="end"/>
        </w:r>
      </w:hyperlink>
    </w:p>
    <w:p w14:paraId="3434F248" w14:textId="77777777" w:rsidR="00487553" w:rsidRDefault="00E51D7B">
      <w:pPr>
        <w:pStyle w:val="20"/>
        <w:rPr>
          <w:rFonts w:asciiTheme="minorHAnsi" w:eastAsiaTheme="minorEastAsia" w:hAnsiTheme="minorHAnsi" w:cstheme="minorBidi"/>
          <w:smallCaps w:val="0"/>
          <w:szCs w:val="22"/>
        </w:rPr>
      </w:pPr>
      <w:hyperlink w:anchor="_Toc20148487" w:history="1">
        <w:r w:rsidR="00487553" w:rsidRPr="00981BD2">
          <w:rPr>
            <w:rStyle w:val="af2"/>
            <w:rFonts w:asciiTheme="minorEastAsia" w:hAnsiTheme="minorEastAsia" w:hint="eastAsia"/>
          </w:rPr>
          <w:t>五、</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临时报告与公告</w:t>
        </w:r>
        <w:r w:rsidR="00487553">
          <w:rPr>
            <w:webHidden/>
          </w:rPr>
          <w:tab/>
        </w:r>
        <w:r w:rsidR="00487553">
          <w:rPr>
            <w:webHidden/>
          </w:rPr>
          <w:fldChar w:fldCharType="begin"/>
        </w:r>
        <w:r w:rsidR="00487553">
          <w:rPr>
            <w:webHidden/>
          </w:rPr>
          <w:instrText xml:space="preserve"> PAGEREF _Toc20148487 \h </w:instrText>
        </w:r>
        <w:r w:rsidR="00487553">
          <w:rPr>
            <w:webHidden/>
          </w:rPr>
        </w:r>
        <w:r w:rsidR="00487553">
          <w:rPr>
            <w:webHidden/>
          </w:rPr>
          <w:fldChar w:fldCharType="separate"/>
        </w:r>
        <w:r w:rsidR="00A0463E">
          <w:rPr>
            <w:webHidden/>
          </w:rPr>
          <w:t>60</w:t>
        </w:r>
        <w:r w:rsidR="00487553">
          <w:rPr>
            <w:webHidden/>
          </w:rPr>
          <w:fldChar w:fldCharType="end"/>
        </w:r>
      </w:hyperlink>
    </w:p>
    <w:p w14:paraId="6E3F87B3" w14:textId="77777777" w:rsidR="00487553" w:rsidRDefault="00E51D7B">
      <w:pPr>
        <w:pStyle w:val="20"/>
        <w:rPr>
          <w:rFonts w:asciiTheme="minorHAnsi" w:eastAsiaTheme="minorEastAsia" w:hAnsiTheme="minorHAnsi" w:cstheme="minorBidi"/>
          <w:smallCaps w:val="0"/>
          <w:szCs w:val="22"/>
        </w:rPr>
      </w:pPr>
      <w:hyperlink w:anchor="_Toc20148488" w:history="1">
        <w:r w:rsidR="00487553" w:rsidRPr="00981BD2">
          <w:rPr>
            <w:rStyle w:val="af2"/>
            <w:rFonts w:asciiTheme="minorEastAsia" w:hAnsiTheme="minorEastAsia" w:hint="eastAsia"/>
          </w:rPr>
          <w:t>六、</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澄清公告</w:t>
        </w:r>
        <w:r w:rsidR="00487553">
          <w:rPr>
            <w:webHidden/>
          </w:rPr>
          <w:tab/>
        </w:r>
        <w:r w:rsidR="00487553">
          <w:rPr>
            <w:webHidden/>
          </w:rPr>
          <w:fldChar w:fldCharType="begin"/>
        </w:r>
        <w:r w:rsidR="00487553">
          <w:rPr>
            <w:webHidden/>
          </w:rPr>
          <w:instrText xml:space="preserve"> PAGEREF _Toc20148488 \h </w:instrText>
        </w:r>
        <w:r w:rsidR="00487553">
          <w:rPr>
            <w:webHidden/>
          </w:rPr>
        </w:r>
        <w:r w:rsidR="00487553">
          <w:rPr>
            <w:webHidden/>
          </w:rPr>
          <w:fldChar w:fldCharType="separate"/>
        </w:r>
        <w:r w:rsidR="00A0463E">
          <w:rPr>
            <w:webHidden/>
          </w:rPr>
          <w:t>62</w:t>
        </w:r>
        <w:r w:rsidR="00487553">
          <w:rPr>
            <w:webHidden/>
          </w:rPr>
          <w:fldChar w:fldCharType="end"/>
        </w:r>
      </w:hyperlink>
    </w:p>
    <w:p w14:paraId="1645CC2D" w14:textId="77777777" w:rsidR="00487553" w:rsidRDefault="00E51D7B">
      <w:pPr>
        <w:pStyle w:val="20"/>
        <w:rPr>
          <w:rFonts w:asciiTheme="minorHAnsi" w:eastAsiaTheme="minorEastAsia" w:hAnsiTheme="minorHAnsi" w:cstheme="minorBidi"/>
          <w:smallCaps w:val="0"/>
          <w:szCs w:val="22"/>
        </w:rPr>
      </w:pPr>
      <w:hyperlink w:anchor="_Toc20148489" w:history="1">
        <w:r w:rsidR="00487553" w:rsidRPr="00981BD2">
          <w:rPr>
            <w:rStyle w:val="af2"/>
            <w:rFonts w:asciiTheme="minorEastAsia" w:hAnsiTheme="minorEastAsia" w:hint="eastAsia"/>
          </w:rPr>
          <w:t>七、</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中国证监会规定的其他信息</w:t>
        </w:r>
        <w:r w:rsidR="00487553">
          <w:rPr>
            <w:webHidden/>
          </w:rPr>
          <w:tab/>
        </w:r>
        <w:r w:rsidR="00487553">
          <w:rPr>
            <w:webHidden/>
          </w:rPr>
          <w:fldChar w:fldCharType="begin"/>
        </w:r>
        <w:r w:rsidR="00487553">
          <w:rPr>
            <w:webHidden/>
          </w:rPr>
          <w:instrText xml:space="preserve"> PAGEREF _Toc20148489 \h </w:instrText>
        </w:r>
        <w:r w:rsidR="00487553">
          <w:rPr>
            <w:webHidden/>
          </w:rPr>
        </w:r>
        <w:r w:rsidR="00487553">
          <w:rPr>
            <w:webHidden/>
          </w:rPr>
          <w:fldChar w:fldCharType="separate"/>
        </w:r>
        <w:r w:rsidR="00A0463E">
          <w:rPr>
            <w:webHidden/>
          </w:rPr>
          <w:t>62</w:t>
        </w:r>
        <w:r w:rsidR="00487553">
          <w:rPr>
            <w:webHidden/>
          </w:rPr>
          <w:fldChar w:fldCharType="end"/>
        </w:r>
      </w:hyperlink>
    </w:p>
    <w:p w14:paraId="0EB68E6D" w14:textId="77777777" w:rsidR="00487553" w:rsidRDefault="00E51D7B">
      <w:pPr>
        <w:pStyle w:val="20"/>
        <w:rPr>
          <w:rFonts w:asciiTheme="minorHAnsi" w:eastAsiaTheme="minorEastAsia" w:hAnsiTheme="minorHAnsi" w:cstheme="minorBidi"/>
          <w:smallCaps w:val="0"/>
          <w:szCs w:val="22"/>
        </w:rPr>
      </w:pPr>
      <w:hyperlink w:anchor="_Toc20148490" w:history="1">
        <w:r w:rsidR="00487553" w:rsidRPr="00981BD2">
          <w:rPr>
            <w:rStyle w:val="af2"/>
            <w:rFonts w:asciiTheme="minorEastAsia" w:hAnsiTheme="minorEastAsia" w:hint="eastAsia"/>
          </w:rPr>
          <w:t>八、</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信息披露文件的存放与查阅</w:t>
        </w:r>
        <w:r w:rsidR="00487553">
          <w:rPr>
            <w:webHidden/>
          </w:rPr>
          <w:tab/>
        </w:r>
        <w:r w:rsidR="00487553">
          <w:rPr>
            <w:webHidden/>
          </w:rPr>
          <w:fldChar w:fldCharType="begin"/>
        </w:r>
        <w:r w:rsidR="00487553">
          <w:rPr>
            <w:webHidden/>
          </w:rPr>
          <w:instrText xml:space="preserve"> PAGEREF _Toc20148490 \h </w:instrText>
        </w:r>
        <w:r w:rsidR="00487553">
          <w:rPr>
            <w:webHidden/>
          </w:rPr>
        </w:r>
        <w:r w:rsidR="00487553">
          <w:rPr>
            <w:webHidden/>
          </w:rPr>
          <w:fldChar w:fldCharType="separate"/>
        </w:r>
        <w:r w:rsidR="00A0463E">
          <w:rPr>
            <w:webHidden/>
          </w:rPr>
          <w:t>62</w:t>
        </w:r>
        <w:r w:rsidR="00487553">
          <w:rPr>
            <w:webHidden/>
          </w:rPr>
          <w:fldChar w:fldCharType="end"/>
        </w:r>
      </w:hyperlink>
    </w:p>
    <w:p w14:paraId="0C82A84B"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91" w:history="1">
        <w:r w:rsidR="00487553" w:rsidRPr="00981BD2">
          <w:rPr>
            <w:rStyle w:val="af2"/>
            <w:rFonts w:asciiTheme="minorEastAsia" w:hAnsiTheme="minorEastAsia" w:hint="eastAsia"/>
          </w:rPr>
          <w:t>第十七节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基金合同的变更、终止与基金财产的清算</w:t>
        </w:r>
        <w:r w:rsidR="00487553">
          <w:rPr>
            <w:webHidden/>
          </w:rPr>
          <w:tab/>
        </w:r>
        <w:r w:rsidR="00487553">
          <w:rPr>
            <w:webHidden/>
          </w:rPr>
          <w:fldChar w:fldCharType="begin"/>
        </w:r>
        <w:r w:rsidR="00487553">
          <w:rPr>
            <w:webHidden/>
          </w:rPr>
          <w:instrText xml:space="preserve"> PAGEREF _Toc20148491 \h </w:instrText>
        </w:r>
        <w:r w:rsidR="00487553">
          <w:rPr>
            <w:webHidden/>
          </w:rPr>
        </w:r>
        <w:r w:rsidR="00487553">
          <w:rPr>
            <w:webHidden/>
          </w:rPr>
          <w:fldChar w:fldCharType="separate"/>
        </w:r>
        <w:r w:rsidR="00A0463E">
          <w:rPr>
            <w:webHidden/>
          </w:rPr>
          <w:t>63</w:t>
        </w:r>
        <w:r w:rsidR="00487553">
          <w:rPr>
            <w:webHidden/>
          </w:rPr>
          <w:fldChar w:fldCharType="end"/>
        </w:r>
      </w:hyperlink>
    </w:p>
    <w:p w14:paraId="0B7EFDAC" w14:textId="77777777" w:rsidR="00487553" w:rsidRDefault="00E51D7B">
      <w:pPr>
        <w:pStyle w:val="20"/>
        <w:rPr>
          <w:rFonts w:asciiTheme="minorHAnsi" w:eastAsiaTheme="minorEastAsia" w:hAnsiTheme="minorHAnsi" w:cstheme="minorBidi"/>
          <w:smallCaps w:val="0"/>
          <w:szCs w:val="22"/>
        </w:rPr>
      </w:pPr>
      <w:hyperlink w:anchor="_Toc20148492"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基金合同的变更</w:t>
        </w:r>
        <w:r w:rsidR="00487553">
          <w:rPr>
            <w:webHidden/>
          </w:rPr>
          <w:tab/>
        </w:r>
        <w:r w:rsidR="00487553">
          <w:rPr>
            <w:webHidden/>
          </w:rPr>
          <w:fldChar w:fldCharType="begin"/>
        </w:r>
        <w:r w:rsidR="00487553">
          <w:rPr>
            <w:webHidden/>
          </w:rPr>
          <w:instrText xml:space="preserve"> PAGEREF _Toc20148492 \h </w:instrText>
        </w:r>
        <w:r w:rsidR="00487553">
          <w:rPr>
            <w:webHidden/>
          </w:rPr>
        </w:r>
        <w:r w:rsidR="00487553">
          <w:rPr>
            <w:webHidden/>
          </w:rPr>
          <w:fldChar w:fldCharType="separate"/>
        </w:r>
        <w:r w:rsidR="00A0463E">
          <w:rPr>
            <w:webHidden/>
          </w:rPr>
          <w:t>63</w:t>
        </w:r>
        <w:r w:rsidR="00487553">
          <w:rPr>
            <w:webHidden/>
          </w:rPr>
          <w:fldChar w:fldCharType="end"/>
        </w:r>
      </w:hyperlink>
    </w:p>
    <w:p w14:paraId="21D65A58" w14:textId="77777777" w:rsidR="00487553" w:rsidRDefault="00E51D7B">
      <w:pPr>
        <w:pStyle w:val="20"/>
        <w:rPr>
          <w:rFonts w:asciiTheme="minorHAnsi" w:eastAsiaTheme="minorEastAsia" w:hAnsiTheme="minorHAnsi" w:cstheme="minorBidi"/>
          <w:smallCaps w:val="0"/>
          <w:szCs w:val="22"/>
        </w:rPr>
      </w:pPr>
      <w:hyperlink w:anchor="_Toc20148493"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基金合同的终止</w:t>
        </w:r>
        <w:r w:rsidR="00487553">
          <w:rPr>
            <w:webHidden/>
          </w:rPr>
          <w:tab/>
        </w:r>
        <w:r w:rsidR="00487553">
          <w:rPr>
            <w:webHidden/>
          </w:rPr>
          <w:fldChar w:fldCharType="begin"/>
        </w:r>
        <w:r w:rsidR="00487553">
          <w:rPr>
            <w:webHidden/>
          </w:rPr>
          <w:instrText xml:space="preserve"> PAGEREF _Toc20148493 \h </w:instrText>
        </w:r>
        <w:r w:rsidR="00487553">
          <w:rPr>
            <w:webHidden/>
          </w:rPr>
        </w:r>
        <w:r w:rsidR="00487553">
          <w:rPr>
            <w:webHidden/>
          </w:rPr>
          <w:fldChar w:fldCharType="separate"/>
        </w:r>
        <w:r w:rsidR="00A0463E">
          <w:rPr>
            <w:webHidden/>
          </w:rPr>
          <w:t>63</w:t>
        </w:r>
        <w:r w:rsidR="00487553">
          <w:rPr>
            <w:webHidden/>
          </w:rPr>
          <w:fldChar w:fldCharType="end"/>
        </w:r>
      </w:hyperlink>
    </w:p>
    <w:p w14:paraId="3754B7EA" w14:textId="77777777" w:rsidR="00487553" w:rsidRDefault="00E51D7B">
      <w:pPr>
        <w:pStyle w:val="20"/>
        <w:rPr>
          <w:rFonts w:asciiTheme="minorHAnsi" w:eastAsiaTheme="minorEastAsia" w:hAnsiTheme="minorHAnsi" w:cstheme="minorBidi"/>
          <w:smallCaps w:val="0"/>
          <w:szCs w:val="22"/>
        </w:rPr>
      </w:pPr>
      <w:hyperlink w:anchor="_Toc20148494"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基金财产的清算</w:t>
        </w:r>
        <w:r w:rsidR="00487553">
          <w:rPr>
            <w:webHidden/>
          </w:rPr>
          <w:tab/>
        </w:r>
        <w:r w:rsidR="00487553">
          <w:rPr>
            <w:webHidden/>
          </w:rPr>
          <w:fldChar w:fldCharType="begin"/>
        </w:r>
        <w:r w:rsidR="00487553">
          <w:rPr>
            <w:webHidden/>
          </w:rPr>
          <w:instrText xml:space="preserve"> PAGEREF _Toc20148494 \h </w:instrText>
        </w:r>
        <w:r w:rsidR="00487553">
          <w:rPr>
            <w:webHidden/>
          </w:rPr>
        </w:r>
        <w:r w:rsidR="00487553">
          <w:rPr>
            <w:webHidden/>
          </w:rPr>
          <w:fldChar w:fldCharType="separate"/>
        </w:r>
        <w:r w:rsidR="00A0463E">
          <w:rPr>
            <w:webHidden/>
          </w:rPr>
          <w:t>63</w:t>
        </w:r>
        <w:r w:rsidR="00487553">
          <w:rPr>
            <w:webHidden/>
          </w:rPr>
          <w:fldChar w:fldCharType="end"/>
        </w:r>
      </w:hyperlink>
    </w:p>
    <w:p w14:paraId="48204C99"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95" w:history="1">
        <w:r w:rsidR="00487553" w:rsidRPr="00981BD2">
          <w:rPr>
            <w:rStyle w:val="af2"/>
            <w:rFonts w:asciiTheme="minorEastAsia" w:hAnsiTheme="minorEastAsia" w:hint="eastAsia"/>
          </w:rPr>
          <w:t>第十八节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基金托管人</w:t>
        </w:r>
        <w:r w:rsidR="00487553">
          <w:rPr>
            <w:webHidden/>
          </w:rPr>
          <w:tab/>
        </w:r>
        <w:r w:rsidR="00487553">
          <w:rPr>
            <w:webHidden/>
          </w:rPr>
          <w:fldChar w:fldCharType="begin"/>
        </w:r>
        <w:r w:rsidR="00487553">
          <w:rPr>
            <w:webHidden/>
          </w:rPr>
          <w:instrText xml:space="preserve"> PAGEREF _Toc20148495 \h </w:instrText>
        </w:r>
        <w:r w:rsidR="00487553">
          <w:rPr>
            <w:webHidden/>
          </w:rPr>
        </w:r>
        <w:r w:rsidR="00487553">
          <w:rPr>
            <w:webHidden/>
          </w:rPr>
          <w:fldChar w:fldCharType="separate"/>
        </w:r>
        <w:r w:rsidR="00A0463E">
          <w:rPr>
            <w:webHidden/>
          </w:rPr>
          <w:t>65</w:t>
        </w:r>
        <w:r w:rsidR="00487553">
          <w:rPr>
            <w:webHidden/>
          </w:rPr>
          <w:fldChar w:fldCharType="end"/>
        </w:r>
      </w:hyperlink>
    </w:p>
    <w:p w14:paraId="1A275317"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96" w:history="1">
        <w:r w:rsidR="00487553" w:rsidRPr="00981BD2">
          <w:rPr>
            <w:rStyle w:val="af2"/>
            <w:rFonts w:asciiTheme="minorEastAsia" w:hAnsiTheme="minorEastAsia" w:hint="eastAsia"/>
          </w:rPr>
          <w:t>第十九节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境外托管人</w:t>
        </w:r>
        <w:r w:rsidR="00487553">
          <w:rPr>
            <w:webHidden/>
          </w:rPr>
          <w:tab/>
        </w:r>
        <w:r w:rsidR="00487553">
          <w:rPr>
            <w:webHidden/>
          </w:rPr>
          <w:fldChar w:fldCharType="begin"/>
        </w:r>
        <w:r w:rsidR="00487553">
          <w:rPr>
            <w:webHidden/>
          </w:rPr>
          <w:instrText xml:space="preserve"> PAGEREF _Toc20148496 \h </w:instrText>
        </w:r>
        <w:r w:rsidR="00487553">
          <w:rPr>
            <w:webHidden/>
          </w:rPr>
        </w:r>
        <w:r w:rsidR="00487553">
          <w:rPr>
            <w:webHidden/>
          </w:rPr>
          <w:fldChar w:fldCharType="separate"/>
        </w:r>
        <w:r w:rsidR="00A0463E">
          <w:rPr>
            <w:webHidden/>
          </w:rPr>
          <w:t>68</w:t>
        </w:r>
        <w:r w:rsidR="00487553">
          <w:rPr>
            <w:webHidden/>
          </w:rPr>
          <w:fldChar w:fldCharType="end"/>
        </w:r>
      </w:hyperlink>
    </w:p>
    <w:p w14:paraId="71AB5419" w14:textId="77777777" w:rsidR="00487553" w:rsidRDefault="00E51D7B">
      <w:pPr>
        <w:pStyle w:val="20"/>
        <w:rPr>
          <w:rFonts w:asciiTheme="minorHAnsi" w:eastAsiaTheme="minorEastAsia" w:hAnsiTheme="minorHAnsi" w:cstheme="minorBidi"/>
          <w:smallCaps w:val="0"/>
          <w:szCs w:val="22"/>
        </w:rPr>
      </w:pPr>
      <w:hyperlink w:anchor="_Toc20148497"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基本情况</w:t>
        </w:r>
        <w:r w:rsidR="00487553">
          <w:rPr>
            <w:webHidden/>
          </w:rPr>
          <w:tab/>
        </w:r>
        <w:r w:rsidR="00487553">
          <w:rPr>
            <w:webHidden/>
          </w:rPr>
          <w:fldChar w:fldCharType="begin"/>
        </w:r>
        <w:r w:rsidR="00487553">
          <w:rPr>
            <w:webHidden/>
          </w:rPr>
          <w:instrText xml:space="preserve"> PAGEREF _Toc20148497 \h </w:instrText>
        </w:r>
        <w:r w:rsidR="00487553">
          <w:rPr>
            <w:webHidden/>
          </w:rPr>
        </w:r>
        <w:r w:rsidR="00487553">
          <w:rPr>
            <w:webHidden/>
          </w:rPr>
          <w:fldChar w:fldCharType="separate"/>
        </w:r>
        <w:r w:rsidR="00A0463E">
          <w:rPr>
            <w:webHidden/>
          </w:rPr>
          <w:t>68</w:t>
        </w:r>
        <w:r w:rsidR="00487553">
          <w:rPr>
            <w:webHidden/>
          </w:rPr>
          <w:fldChar w:fldCharType="end"/>
        </w:r>
      </w:hyperlink>
    </w:p>
    <w:p w14:paraId="54C62C81" w14:textId="77777777" w:rsidR="00487553" w:rsidRDefault="00E51D7B">
      <w:pPr>
        <w:pStyle w:val="20"/>
        <w:rPr>
          <w:rFonts w:asciiTheme="minorHAnsi" w:eastAsiaTheme="minorEastAsia" w:hAnsiTheme="minorHAnsi" w:cstheme="minorBidi"/>
          <w:smallCaps w:val="0"/>
          <w:szCs w:val="22"/>
        </w:rPr>
      </w:pPr>
      <w:hyperlink w:anchor="_Toc20148498"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境外托管人的职责</w:t>
        </w:r>
        <w:r w:rsidR="00487553">
          <w:rPr>
            <w:webHidden/>
          </w:rPr>
          <w:tab/>
        </w:r>
        <w:r w:rsidR="00487553">
          <w:rPr>
            <w:webHidden/>
          </w:rPr>
          <w:fldChar w:fldCharType="begin"/>
        </w:r>
        <w:r w:rsidR="00487553">
          <w:rPr>
            <w:webHidden/>
          </w:rPr>
          <w:instrText xml:space="preserve"> PAGEREF _Toc20148498 \h </w:instrText>
        </w:r>
        <w:r w:rsidR="00487553">
          <w:rPr>
            <w:webHidden/>
          </w:rPr>
        </w:r>
        <w:r w:rsidR="00487553">
          <w:rPr>
            <w:webHidden/>
          </w:rPr>
          <w:fldChar w:fldCharType="separate"/>
        </w:r>
        <w:r w:rsidR="00A0463E">
          <w:rPr>
            <w:webHidden/>
          </w:rPr>
          <w:t>68</w:t>
        </w:r>
        <w:r w:rsidR="00487553">
          <w:rPr>
            <w:webHidden/>
          </w:rPr>
          <w:fldChar w:fldCharType="end"/>
        </w:r>
      </w:hyperlink>
    </w:p>
    <w:p w14:paraId="51A64095" w14:textId="77777777" w:rsidR="00487553" w:rsidRDefault="00E51D7B">
      <w:pPr>
        <w:pStyle w:val="10"/>
        <w:tabs>
          <w:tab w:val="left" w:pos="1260"/>
        </w:tabs>
        <w:rPr>
          <w:rFonts w:asciiTheme="minorHAnsi" w:eastAsiaTheme="minorEastAsia" w:hAnsiTheme="minorHAnsi" w:cstheme="minorBidi"/>
          <w:caps w:val="0"/>
          <w:sz w:val="21"/>
          <w:szCs w:val="22"/>
        </w:rPr>
      </w:pPr>
      <w:hyperlink w:anchor="_Toc20148499" w:history="1">
        <w:r w:rsidR="00487553" w:rsidRPr="00981BD2">
          <w:rPr>
            <w:rStyle w:val="af2"/>
            <w:rFonts w:asciiTheme="minorEastAsia" w:hAnsiTheme="minorEastAsia" w:hint="eastAsia"/>
          </w:rPr>
          <w:t>第二十节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相关服务机构</w:t>
        </w:r>
        <w:r w:rsidR="00487553">
          <w:rPr>
            <w:webHidden/>
          </w:rPr>
          <w:tab/>
        </w:r>
        <w:r w:rsidR="00487553">
          <w:rPr>
            <w:webHidden/>
          </w:rPr>
          <w:fldChar w:fldCharType="begin"/>
        </w:r>
        <w:r w:rsidR="00487553">
          <w:rPr>
            <w:webHidden/>
          </w:rPr>
          <w:instrText xml:space="preserve"> PAGEREF _Toc20148499 \h </w:instrText>
        </w:r>
        <w:r w:rsidR="00487553">
          <w:rPr>
            <w:webHidden/>
          </w:rPr>
        </w:r>
        <w:r w:rsidR="00487553">
          <w:rPr>
            <w:webHidden/>
          </w:rPr>
          <w:fldChar w:fldCharType="separate"/>
        </w:r>
        <w:r w:rsidR="00A0463E">
          <w:rPr>
            <w:webHidden/>
          </w:rPr>
          <w:t>70</w:t>
        </w:r>
        <w:r w:rsidR="00487553">
          <w:rPr>
            <w:webHidden/>
          </w:rPr>
          <w:fldChar w:fldCharType="end"/>
        </w:r>
      </w:hyperlink>
    </w:p>
    <w:p w14:paraId="7208674C" w14:textId="77777777" w:rsidR="00487553" w:rsidRDefault="00E51D7B">
      <w:pPr>
        <w:pStyle w:val="20"/>
        <w:rPr>
          <w:rFonts w:asciiTheme="minorHAnsi" w:eastAsiaTheme="minorEastAsia" w:hAnsiTheme="minorHAnsi" w:cstheme="minorBidi"/>
          <w:smallCaps w:val="0"/>
          <w:szCs w:val="22"/>
        </w:rPr>
      </w:pPr>
      <w:hyperlink w:anchor="_Toc20148500" w:history="1">
        <w:r w:rsidR="00487553" w:rsidRPr="00981BD2">
          <w:rPr>
            <w:rStyle w:val="af2"/>
            <w:rFonts w:asciiTheme="minorEastAsia" w:hAnsiTheme="minorEastAsia" w:hint="eastAsia"/>
          </w:rPr>
          <w:t>一、</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基金份额销售机构</w:t>
        </w:r>
        <w:r w:rsidR="00487553">
          <w:rPr>
            <w:webHidden/>
          </w:rPr>
          <w:tab/>
        </w:r>
        <w:r w:rsidR="00487553">
          <w:rPr>
            <w:webHidden/>
          </w:rPr>
          <w:fldChar w:fldCharType="begin"/>
        </w:r>
        <w:r w:rsidR="00487553">
          <w:rPr>
            <w:webHidden/>
          </w:rPr>
          <w:instrText xml:space="preserve"> PAGEREF _Toc20148500 \h </w:instrText>
        </w:r>
        <w:r w:rsidR="00487553">
          <w:rPr>
            <w:webHidden/>
          </w:rPr>
        </w:r>
        <w:r w:rsidR="00487553">
          <w:rPr>
            <w:webHidden/>
          </w:rPr>
          <w:fldChar w:fldCharType="separate"/>
        </w:r>
        <w:r w:rsidR="00A0463E">
          <w:rPr>
            <w:webHidden/>
          </w:rPr>
          <w:t>70</w:t>
        </w:r>
        <w:r w:rsidR="00487553">
          <w:rPr>
            <w:webHidden/>
          </w:rPr>
          <w:fldChar w:fldCharType="end"/>
        </w:r>
      </w:hyperlink>
    </w:p>
    <w:p w14:paraId="476FC047" w14:textId="77777777" w:rsidR="00487553" w:rsidRDefault="00E51D7B">
      <w:pPr>
        <w:pStyle w:val="20"/>
        <w:rPr>
          <w:rFonts w:asciiTheme="minorHAnsi" w:eastAsiaTheme="minorEastAsia" w:hAnsiTheme="minorHAnsi" w:cstheme="minorBidi"/>
          <w:smallCaps w:val="0"/>
          <w:szCs w:val="22"/>
        </w:rPr>
      </w:pPr>
      <w:hyperlink w:anchor="_Toc20148501" w:history="1">
        <w:r w:rsidR="00487553" w:rsidRPr="00981BD2">
          <w:rPr>
            <w:rStyle w:val="af2"/>
            <w:rFonts w:asciiTheme="minorEastAsia" w:hAnsiTheme="minorEastAsia" w:hint="eastAsia"/>
          </w:rPr>
          <w:t>二、</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基金注册登记机构</w:t>
        </w:r>
        <w:r w:rsidR="00487553">
          <w:rPr>
            <w:webHidden/>
          </w:rPr>
          <w:tab/>
        </w:r>
        <w:r w:rsidR="00487553">
          <w:rPr>
            <w:webHidden/>
          </w:rPr>
          <w:fldChar w:fldCharType="begin"/>
        </w:r>
        <w:r w:rsidR="00487553">
          <w:rPr>
            <w:webHidden/>
          </w:rPr>
          <w:instrText xml:space="preserve"> PAGEREF _Toc20148501 \h </w:instrText>
        </w:r>
        <w:r w:rsidR="00487553">
          <w:rPr>
            <w:webHidden/>
          </w:rPr>
        </w:r>
        <w:r w:rsidR="00487553">
          <w:rPr>
            <w:webHidden/>
          </w:rPr>
          <w:fldChar w:fldCharType="separate"/>
        </w:r>
        <w:r w:rsidR="00A0463E">
          <w:rPr>
            <w:webHidden/>
          </w:rPr>
          <w:t>132</w:t>
        </w:r>
        <w:r w:rsidR="00487553">
          <w:rPr>
            <w:webHidden/>
          </w:rPr>
          <w:fldChar w:fldCharType="end"/>
        </w:r>
      </w:hyperlink>
    </w:p>
    <w:p w14:paraId="25302C67" w14:textId="77777777" w:rsidR="00487553" w:rsidRDefault="00E51D7B">
      <w:pPr>
        <w:pStyle w:val="20"/>
        <w:rPr>
          <w:rFonts w:asciiTheme="minorHAnsi" w:eastAsiaTheme="minorEastAsia" w:hAnsiTheme="minorHAnsi" w:cstheme="minorBidi"/>
          <w:smallCaps w:val="0"/>
          <w:szCs w:val="22"/>
        </w:rPr>
      </w:pPr>
      <w:hyperlink w:anchor="_Toc20148502" w:history="1">
        <w:r w:rsidR="00487553" w:rsidRPr="00981BD2">
          <w:rPr>
            <w:rStyle w:val="af2"/>
            <w:rFonts w:asciiTheme="minorEastAsia" w:hAnsiTheme="minorEastAsia" w:hint="eastAsia"/>
          </w:rPr>
          <w:t>三、</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出具法律意见书的律师事务所</w:t>
        </w:r>
        <w:r w:rsidR="00487553">
          <w:rPr>
            <w:webHidden/>
          </w:rPr>
          <w:tab/>
        </w:r>
        <w:r w:rsidR="00487553">
          <w:rPr>
            <w:webHidden/>
          </w:rPr>
          <w:fldChar w:fldCharType="begin"/>
        </w:r>
        <w:r w:rsidR="00487553">
          <w:rPr>
            <w:webHidden/>
          </w:rPr>
          <w:instrText xml:space="preserve"> PAGEREF _Toc20148502 \h </w:instrText>
        </w:r>
        <w:r w:rsidR="00487553">
          <w:rPr>
            <w:webHidden/>
          </w:rPr>
        </w:r>
        <w:r w:rsidR="00487553">
          <w:rPr>
            <w:webHidden/>
          </w:rPr>
          <w:fldChar w:fldCharType="separate"/>
        </w:r>
        <w:r w:rsidR="00A0463E">
          <w:rPr>
            <w:webHidden/>
          </w:rPr>
          <w:t>132</w:t>
        </w:r>
        <w:r w:rsidR="00487553">
          <w:rPr>
            <w:webHidden/>
          </w:rPr>
          <w:fldChar w:fldCharType="end"/>
        </w:r>
      </w:hyperlink>
    </w:p>
    <w:p w14:paraId="44241F45" w14:textId="77777777" w:rsidR="00487553" w:rsidRDefault="00E51D7B">
      <w:pPr>
        <w:pStyle w:val="20"/>
        <w:rPr>
          <w:rFonts w:asciiTheme="minorHAnsi" w:eastAsiaTheme="minorEastAsia" w:hAnsiTheme="minorHAnsi" w:cstheme="minorBidi"/>
          <w:smallCaps w:val="0"/>
          <w:szCs w:val="22"/>
        </w:rPr>
      </w:pPr>
      <w:hyperlink w:anchor="_Toc20148503" w:history="1">
        <w:r w:rsidR="00487553" w:rsidRPr="00981BD2">
          <w:rPr>
            <w:rStyle w:val="af2"/>
            <w:rFonts w:asciiTheme="minorEastAsia" w:hAnsiTheme="minorEastAsia" w:hint="eastAsia"/>
          </w:rPr>
          <w:t>四、</w:t>
        </w:r>
        <w:r w:rsidR="00487553">
          <w:rPr>
            <w:rFonts w:asciiTheme="minorHAnsi" w:eastAsiaTheme="minorEastAsia" w:hAnsiTheme="minorHAnsi" w:cstheme="minorBidi"/>
            <w:smallCaps w:val="0"/>
            <w:szCs w:val="22"/>
          </w:rPr>
          <w:tab/>
        </w:r>
        <w:r w:rsidR="00487553" w:rsidRPr="00981BD2">
          <w:rPr>
            <w:rStyle w:val="af2"/>
            <w:rFonts w:asciiTheme="minorEastAsia" w:hAnsiTheme="minorEastAsia" w:hint="eastAsia"/>
          </w:rPr>
          <w:t>审计基金财产的会计师事务所</w:t>
        </w:r>
        <w:r w:rsidR="00487553">
          <w:rPr>
            <w:webHidden/>
          </w:rPr>
          <w:tab/>
        </w:r>
        <w:r w:rsidR="00487553">
          <w:rPr>
            <w:webHidden/>
          </w:rPr>
          <w:fldChar w:fldCharType="begin"/>
        </w:r>
        <w:r w:rsidR="00487553">
          <w:rPr>
            <w:webHidden/>
          </w:rPr>
          <w:instrText xml:space="preserve"> PAGEREF _Toc20148503 \h </w:instrText>
        </w:r>
        <w:r w:rsidR="00487553">
          <w:rPr>
            <w:webHidden/>
          </w:rPr>
        </w:r>
        <w:r w:rsidR="00487553">
          <w:rPr>
            <w:webHidden/>
          </w:rPr>
          <w:fldChar w:fldCharType="separate"/>
        </w:r>
        <w:r w:rsidR="00A0463E">
          <w:rPr>
            <w:webHidden/>
          </w:rPr>
          <w:t>133</w:t>
        </w:r>
        <w:r w:rsidR="00487553">
          <w:rPr>
            <w:webHidden/>
          </w:rPr>
          <w:fldChar w:fldCharType="end"/>
        </w:r>
      </w:hyperlink>
    </w:p>
    <w:p w14:paraId="38D06838"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4" w:history="1">
        <w:r w:rsidR="00487553" w:rsidRPr="00981BD2">
          <w:rPr>
            <w:rStyle w:val="af2"/>
            <w:rFonts w:asciiTheme="minorEastAsia" w:hAnsiTheme="minorEastAsia" w:hint="eastAsia"/>
          </w:rPr>
          <w:t>第二十一节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基金合同的内容摘要</w:t>
        </w:r>
        <w:r w:rsidR="00487553">
          <w:rPr>
            <w:webHidden/>
          </w:rPr>
          <w:tab/>
        </w:r>
        <w:r w:rsidR="00487553">
          <w:rPr>
            <w:webHidden/>
          </w:rPr>
          <w:fldChar w:fldCharType="begin"/>
        </w:r>
        <w:r w:rsidR="00487553">
          <w:rPr>
            <w:webHidden/>
          </w:rPr>
          <w:instrText xml:space="preserve"> PAGEREF _Toc20148504 \h </w:instrText>
        </w:r>
        <w:r w:rsidR="00487553">
          <w:rPr>
            <w:webHidden/>
          </w:rPr>
        </w:r>
        <w:r w:rsidR="00487553">
          <w:rPr>
            <w:webHidden/>
          </w:rPr>
          <w:fldChar w:fldCharType="separate"/>
        </w:r>
        <w:r w:rsidR="00A0463E">
          <w:rPr>
            <w:webHidden/>
          </w:rPr>
          <w:t>134</w:t>
        </w:r>
        <w:r w:rsidR="00487553">
          <w:rPr>
            <w:webHidden/>
          </w:rPr>
          <w:fldChar w:fldCharType="end"/>
        </w:r>
      </w:hyperlink>
    </w:p>
    <w:p w14:paraId="2E3AF121"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5" w:history="1">
        <w:r w:rsidR="00487553" w:rsidRPr="00981BD2">
          <w:rPr>
            <w:rStyle w:val="af2"/>
            <w:rFonts w:asciiTheme="minorEastAsia" w:hAnsiTheme="minorEastAsia" w:hint="eastAsia"/>
          </w:rPr>
          <w:t>第二十二节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基金托管协议的内容摘要</w:t>
        </w:r>
        <w:r w:rsidR="00487553">
          <w:rPr>
            <w:webHidden/>
          </w:rPr>
          <w:tab/>
        </w:r>
        <w:r w:rsidR="00487553">
          <w:rPr>
            <w:webHidden/>
          </w:rPr>
          <w:fldChar w:fldCharType="begin"/>
        </w:r>
        <w:r w:rsidR="00487553">
          <w:rPr>
            <w:webHidden/>
          </w:rPr>
          <w:instrText xml:space="preserve"> PAGEREF _Toc20148505 \h </w:instrText>
        </w:r>
        <w:r w:rsidR="00487553">
          <w:rPr>
            <w:webHidden/>
          </w:rPr>
        </w:r>
        <w:r w:rsidR="00487553">
          <w:rPr>
            <w:webHidden/>
          </w:rPr>
          <w:fldChar w:fldCharType="separate"/>
        </w:r>
        <w:r w:rsidR="00A0463E">
          <w:rPr>
            <w:webHidden/>
          </w:rPr>
          <w:t>148</w:t>
        </w:r>
        <w:r w:rsidR="00487553">
          <w:rPr>
            <w:webHidden/>
          </w:rPr>
          <w:fldChar w:fldCharType="end"/>
        </w:r>
      </w:hyperlink>
    </w:p>
    <w:p w14:paraId="26414F17"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6" w:history="1">
        <w:r w:rsidR="00487553" w:rsidRPr="00981BD2">
          <w:rPr>
            <w:rStyle w:val="af2"/>
            <w:rFonts w:asciiTheme="minorEastAsia" w:hAnsiTheme="minorEastAsia" w:hint="eastAsia"/>
          </w:rPr>
          <w:t>第二十三节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对基金份额持有人的服务</w:t>
        </w:r>
        <w:r w:rsidR="00487553">
          <w:rPr>
            <w:webHidden/>
          </w:rPr>
          <w:tab/>
        </w:r>
        <w:r w:rsidR="00487553">
          <w:rPr>
            <w:webHidden/>
          </w:rPr>
          <w:fldChar w:fldCharType="begin"/>
        </w:r>
        <w:r w:rsidR="00487553">
          <w:rPr>
            <w:webHidden/>
          </w:rPr>
          <w:instrText xml:space="preserve"> PAGEREF _Toc20148506 \h </w:instrText>
        </w:r>
        <w:r w:rsidR="00487553">
          <w:rPr>
            <w:webHidden/>
          </w:rPr>
        </w:r>
        <w:r w:rsidR="00487553">
          <w:rPr>
            <w:webHidden/>
          </w:rPr>
          <w:fldChar w:fldCharType="separate"/>
        </w:r>
        <w:r w:rsidR="00A0463E">
          <w:rPr>
            <w:webHidden/>
          </w:rPr>
          <w:t>162</w:t>
        </w:r>
        <w:r w:rsidR="00487553">
          <w:rPr>
            <w:webHidden/>
          </w:rPr>
          <w:fldChar w:fldCharType="end"/>
        </w:r>
      </w:hyperlink>
    </w:p>
    <w:p w14:paraId="3283DF80"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7" w:history="1">
        <w:r w:rsidR="00487553" w:rsidRPr="00981BD2">
          <w:rPr>
            <w:rStyle w:val="af2"/>
            <w:rFonts w:asciiTheme="minorEastAsia" w:hAnsiTheme="minorEastAsia" w:hint="eastAsia"/>
          </w:rPr>
          <w:t>第二十四节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其他应披露事项</w:t>
        </w:r>
        <w:r w:rsidR="00487553">
          <w:rPr>
            <w:webHidden/>
          </w:rPr>
          <w:tab/>
        </w:r>
        <w:r w:rsidR="00487553">
          <w:rPr>
            <w:webHidden/>
          </w:rPr>
          <w:fldChar w:fldCharType="begin"/>
        </w:r>
        <w:r w:rsidR="00487553">
          <w:rPr>
            <w:webHidden/>
          </w:rPr>
          <w:instrText xml:space="preserve"> PAGEREF _Toc20148507 \h </w:instrText>
        </w:r>
        <w:r w:rsidR="00487553">
          <w:rPr>
            <w:webHidden/>
          </w:rPr>
        </w:r>
        <w:r w:rsidR="00487553">
          <w:rPr>
            <w:webHidden/>
          </w:rPr>
          <w:fldChar w:fldCharType="separate"/>
        </w:r>
        <w:r w:rsidR="00A0463E">
          <w:rPr>
            <w:webHidden/>
          </w:rPr>
          <w:t>163</w:t>
        </w:r>
        <w:r w:rsidR="00487553">
          <w:rPr>
            <w:webHidden/>
          </w:rPr>
          <w:fldChar w:fldCharType="end"/>
        </w:r>
      </w:hyperlink>
    </w:p>
    <w:p w14:paraId="0822098B"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8" w:history="1">
        <w:r w:rsidR="00487553" w:rsidRPr="00981BD2">
          <w:rPr>
            <w:rStyle w:val="af2"/>
            <w:rFonts w:asciiTheme="minorEastAsia" w:hAnsiTheme="minorEastAsia" w:hint="eastAsia"/>
          </w:rPr>
          <w:t>第二十五节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招募说明书存放及查阅方式</w:t>
        </w:r>
        <w:r w:rsidR="00487553">
          <w:rPr>
            <w:webHidden/>
          </w:rPr>
          <w:tab/>
        </w:r>
        <w:r w:rsidR="00487553">
          <w:rPr>
            <w:webHidden/>
          </w:rPr>
          <w:fldChar w:fldCharType="begin"/>
        </w:r>
        <w:r w:rsidR="00487553">
          <w:rPr>
            <w:webHidden/>
          </w:rPr>
          <w:instrText xml:space="preserve"> PAGEREF _Toc20148508 \h </w:instrText>
        </w:r>
        <w:r w:rsidR="00487553">
          <w:rPr>
            <w:webHidden/>
          </w:rPr>
        </w:r>
        <w:r w:rsidR="00487553">
          <w:rPr>
            <w:webHidden/>
          </w:rPr>
          <w:fldChar w:fldCharType="separate"/>
        </w:r>
        <w:r w:rsidR="00A0463E">
          <w:rPr>
            <w:webHidden/>
          </w:rPr>
          <w:t>167</w:t>
        </w:r>
        <w:r w:rsidR="00487553">
          <w:rPr>
            <w:webHidden/>
          </w:rPr>
          <w:fldChar w:fldCharType="end"/>
        </w:r>
      </w:hyperlink>
    </w:p>
    <w:p w14:paraId="1CD4DD62" w14:textId="77777777" w:rsidR="00487553" w:rsidRDefault="00E51D7B">
      <w:pPr>
        <w:pStyle w:val="10"/>
        <w:tabs>
          <w:tab w:val="left" w:pos="1680"/>
        </w:tabs>
        <w:rPr>
          <w:rFonts w:asciiTheme="minorHAnsi" w:eastAsiaTheme="minorEastAsia" w:hAnsiTheme="minorHAnsi" w:cstheme="minorBidi"/>
          <w:caps w:val="0"/>
          <w:sz w:val="21"/>
          <w:szCs w:val="22"/>
        </w:rPr>
      </w:pPr>
      <w:hyperlink w:anchor="_Toc20148509" w:history="1">
        <w:r w:rsidR="00487553" w:rsidRPr="00981BD2">
          <w:rPr>
            <w:rStyle w:val="af2"/>
            <w:rFonts w:asciiTheme="minorEastAsia" w:hAnsiTheme="minorEastAsia" w:hint="eastAsia"/>
          </w:rPr>
          <w:t>第二十六节</w:t>
        </w:r>
        <w:r w:rsidR="00487553">
          <w:rPr>
            <w:rFonts w:asciiTheme="minorHAnsi" w:eastAsiaTheme="minorEastAsia" w:hAnsiTheme="minorHAnsi" w:cstheme="minorBidi"/>
            <w:caps w:val="0"/>
            <w:sz w:val="21"/>
            <w:szCs w:val="22"/>
          </w:rPr>
          <w:tab/>
        </w:r>
        <w:r w:rsidR="00487553" w:rsidRPr="00981BD2">
          <w:rPr>
            <w:rStyle w:val="af2"/>
            <w:rFonts w:asciiTheme="minorEastAsia" w:hAnsiTheme="minorEastAsia" w:hint="eastAsia"/>
          </w:rPr>
          <w:t>备查文件</w:t>
        </w:r>
        <w:r w:rsidR="00487553">
          <w:rPr>
            <w:webHidden/>
          </w:rPr>
          <w:tab/>
        </w:r>
        <w:r w:rsidR="00487553">
          <w:rPr>
            <w:webHidden/>
          </w:rPr>
          <w:fldChar w:fldCharType="begin"/>
        </w:r>
        <w:r w:rsidR="00487553">
          <w:rPr>
            <w:webHidden/>
          </w:rPr>
          <w:instrText xml:space="preserve"> PAGEREF _Toc20148509 \h </w:instrText>
        </w:r>
        <w:r w:rsidR="00487553">
          <w:rPr>
            <w:webHidden/>
          </w:rPr>
        </w:r>
        <w:r w:rsidR="00487553">
          <w:rPr>
            <w:webHidden/>
          </w:rPr>
          <w:fldChar w:fldCharType="separate"/>
        </w:r>
        <w:r w:rsidR="00A0463E">
          <w:rPr>
            <w:webHidden/>
          </w:rPr>
          <w:t>168</w:t>
        </w:r>
        <w:r w:rsidR="00487553">
          <w:rPr>
            <w:webHidden/>
          </w:rPr>
          <w:fldChar w:fldCharType="end"/>
        </w:r>
      </w:hyperlink>
    </w:p>
    <w:p w14:paraId="4DEE1A53" w14:textId="77777777" w:rsidR="0064594E" w:rsidRPr="00487553" w:rsidRDefault="00BC2536" w:rsidP="00D94E68">
      <w:pPr>
        <w:snapToGrid w:val="0"/>
        <w:spacing w:line="360" w:lineRule="auto"/>
        <w:ind w:firstLine="560"/>
        <w:jc w:val="center"/>
        <w:rPr>
          <w:rFonts w:asciiTheme="minorEastAsia" w:eastAsiaTheme="minorEastAsia" w:hAnsiTheme="minorEastAsia"/>
          <w:szCs w:val="21"/>
        </w:rPr>
        <w:sectPr w:rsidR="0064594E" w:rsidRPr="00487553" w:rsidSect="00294707">
          <w:footerReference w:type="default" r:id="rId14"/>
          <w:footerReference w:type="first" r:id="rId15"/>
          <w:pgSz w:w="11906" w:h="16838" w:code="9"/>
          <w:pgMar w:top="1701" w:right="1797" w:bottom="1701" w:left="1797" w:header="1134" w:footer="1247" w:gutter="0"/>
          <w:pgNumType w:fmt="upperRoman" w:start="1"/>
          <w:cols w:space="425"/>
          <w:titlePg/>
          <w:docGrid w:type="linesAndChars" w:linePitch="447"/>
        </w:sectPr>
      </w:pPr>
      <w:r w:rsidRPr="00487553">
        <w:rPr>
          <w:rFonts w:asciiTheme="minorEastAsia" w:eastAsiaTheme="minorEastAsia" w:hAnsiTheme="minorEastAsia"/>
          <w:b/>
          <w:caps/>
          <w:noProof/>
          <w:sz w:val="24"/>
          <w:szCs w:val="21"/>
        </w:rPr>
        <w:fldChar w:fldCharType="end"/>
      </w:r>
    </w:p>
    <w:p w14:paraId="4274B014" w14:textId="2EA78DBB" w:rsidR="0064594E" w:rsidRPr="00487553" w:rsidRDefault="0064594E" w:rsidP="001016DC">
      <w:pPr>
        <w:pStyle w:val="11"/>
        <w:numPr>
          <w:ilvl w:val="0"/>
          <w:numId w:val="14"/>
        </w:numPr>
        <w:tabs>
          <w:tab w:val="num" w:pos="2127"/>
        </w:tabs>
        <w:snapToGrid w:val="0"/>
        <w:spacing w:beforeLines="0" w:afterLines="0" w:line="360" w:lineRule="auto"/>
        <w:ind w:firstLineChars="0"/>
        <w:rPr>
          <w:rFonts w:asciiTheme="minorEastAsia" w:eastAsiaTheme="minorEastAsia" w:hAnsiTheme="minorEastAsia"/>
        </w:rPr>
      </w:pPr>
      <w:bookmarkStart w:id="1" w:name="_Toc38432421"/>
      <w:bookmarkStart w:id="2" w:name="_Toc20148402"/>
      <w:r w:rsidRPr="00487553">
        <w:rPr>
          <w:rFonts w:asciiTheme="minorEastAsia" w:eastAsiaTheme="minorEastAsia" w:hAnsiTheme="minorEastAsia"/>
        </w:rPr>
        <w:lastRenderedPageBreak/>
        <w:t>绪言</w:t>
      </w:r>
      <w:bookmarkEnd w:id="1"/>
      <w:bookmarkEnd w:id="2"/>
    </w:p>
    <w:p w14:paraId="1193C583" w14:textId="77777777" w:rsidR="0064594E" w:rsidRPr="00487553" w:rsidRDefault="0064594E"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w:t>
      </w:r>
      <w:r w:rsidRPr="00487553">
        <w:rPr>
          <w:rFonts w:asciiTheme="minorEastAsia" w:eastAsiaTheme="minorEastAsia" w:hAnsiTheme="minorEastAsia"/>
        </w:rPr>
        <w:t>《证券投资基金信息披露内容与格式准则第5号&lt;招募说明书的内容与格式&gt;》、《合格境内机构投资者境外证券投资管理试行办法》（以下简称</w:t>
      </w:r>
      <w:r w:rsidR="00B44A0B" w:rsidRPr="00487553">
        <w:rPr>
          <w:rFonts w:asciiTheme="minorEastAsia" w:eastAsiaTheme="minorEastAsia" w:hAnsiTheme="minorEastAsia"/>
        </w:rPr>
        <w:t>《</w:t>
      </w:r>
      <w:r w:rsidRPr="00487553">
        <w:rPr>
          <w:rFonts w:asciiTheme="minorEastAsia" w:eastAsiaTheme="minorEastAsia" w:hAnsiTheme="minorEastAsia"/>
        </w:rPr>
        <w:t>试行办法》</w:t>
      </w:r>
      <w:r w:rsidR="00B44A0B" w:rsidRPr="00487553">
        <w:rPr>
          <w:rFonts w:asciiTheme="minorEastAsia" w:eastAsiaTheme="minorEastAsia" w:hAnsiTheme="minorEastAsia"/>
        </w:rPr>
        <w:t>）、《</w:t>
      </w:r>
      <w:r w:rsidR="00CA5178" w:rsidRPr="00487553">
        <w:rPr>
          <w:rFonts w:asciiTheme="minorEastAsia" w:eastAsiaTheme="minorEastAsia" w:hAnsiTheme="minorEastAsia"/>
          <w:bCs/>
          <w:szCs w:val="21"/>
        </w:rPr>
        <w:t>关于实施&lt;合格境内机构投资者境外证券投资管理试行办法&gt;有关问题的通知》（以下简称《通知》</w:t>
      </w:r>
      <w:r w:rsidR="00513A34" w:rsidRPr="00487553">
        <w:rPr>
          <w:rFonts w:asciiTheme="minorEastAsia" w:eastAsiaTheme="minorEastAsia" w:hAnsiTheme="minorEastAsia" w:hint="eastAsia"/>
          <w:bCs/>
          <w:szCs w:val="21"/>
        </w:rPr>
        <w:t>）、《公开募集开放式证券投资基金流动性风险管理规定》（以下简称“《管理规定》”）</w:t>
      </w:r>
      <w:r w:rsidRPr="00487553">
        <w:rPr>
          <w:rFonts w:asciiTheme="minorEastAsia" w:eastAsiaTheme="minorEastAsia" w:hAnsiTheme="minorEastAsia"/>
          <w:szCs w:val="21"/>
        </w:rPr>
        <w:t>等有关法律法规以及《易方达</w:t>
      </w:r>
      <w:r w:rsidR="0057643B" w:rsidRPr="00487553">
        <w:rPr>
          <w:rFonts w:asciiTheme="minorEastAsia" w:eastAsiaTheme="minorEastAsia" w:hAnsiTheme="minorEastAsia"/>
          <w:szCs w:val="21"/>
        </w:rPr>
        <w:t>恒生中国企业交易型开放式指数证券投资基金</w:t>
      </w:r>
      <w:r w:rsidR="0057643B" w:rsidRPr="00487553">
        <w:rPr>
          <w:rFonts w:asciiTheme="minorEastAsia" w:eastAsiaTheme="minorEastAsia" w:hAnsiTheme="minorEastAsia" w:hint="eastAsia"/>
          <w:szCs w:val="21"/>
        </w:rPr>
        <w:t>联接基金</w:t>
      </w:r>
      <w:r w:rsidRPr="00487553">
        <w:rPr>
          <w:rFonts w:asciiTheme="minorEastAsia" w:eastAsiaTheme="minorEastAsia" w:hAnsiTheme="minorEastAsia"/>
          <w:szCs w:val="21"/>
        </w:rPr>
        <w:t>基金合同》编写。</w:t>
      </w:r>
    </w:p>
    <w:p w14:paraId="6D0CE8B0" w14:textId="77777777" w:rsidR="0064594E" w:rsidRPr="00487553" w:rsidRDefault="0064594E" w:rsidP="00D94E68">
      <w:pPr>
        <w:snapToGrid w:val="0"/>
        <w:spacing w:line="360" w:lineRule="auto"/>
        <w:ind w:firstLine="482"/>
        <w:rPr>
          <w:rStyle w:val="da"/>
          <w:rFonts w:asciiTheme="minorEastAsia" w:eastAsiaTheme="minorEastAsia" w:hAnsiTheme="minorEastAsia"/>
        </w:rPr>
      </w:pPr>
      <w:r w:rsidRPr="00487553">
        <w:rPr>
          <w:rStyle w:val="da"/>
          <w:rFonts w:asciiTheme="minorEastAsia" w:eastAsiaTheme="minorEastAsia" w:hAnsiTheme="minorEastAsia"/>
        </w:rPr>
        <w:t>基金管理人承诺本招募说明书不存在任何虚假记载、误导性陈述或者重大遗漏</w:t>
      </w:r>
      <w:r w:rsidR="001A2CD2" w:rsidRPr="00487553">
        <w:rPr>
          <w:rStyle w:val="da"/>
          <w:rFonts w:asciiTheme="minorEastAsia" w:eastAsiaTheme="minorEastAsia" w:hAnsiTheme="minorEastAsia"/>
        </w:rPr>
        <w:t>，</w:t>
      </w:r>
      <w:r w:rsidRPr="00487553">
        <w:rPr>
          <w:rStyle w:val="da"/>
          <w:rFonts w:asciiTheme="minorEastAsia" w:eastAsiaTheme="minorEastAsia" w:hAnsiTheme="minorEastAsia"/>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23478753" w14:textId="77777777" w:rsidR="0064594E" w:rsidRPr="00487553" w:rsidRDefault="0064594E" w:rsidP="00D94E68">
      <w:pPr>
        <w:snapToGrid w:val="0"/>
        <w:spacing w:line="360" w:lineRule="auto"/>
        <w:ind w:firstLine="482"/>
        <w:rPr>
          <w:rFonts w:asciiTheme="minorEastAsia" w:eastAsiaTheme="minorEastAsia" w:hAnsiTheme="minorEastAsia"/>
          <w:b/>
          <w:szCs w:val="21"/>
        </w:rPr>
      </w:pPr>
      <w:r w:rsidRPr="00487553">
        <w:rPr>
          <w:rStyle w:val="da"/>
          <w:rFonts w:asciiTheme="minorEastAsia" w:eastAsiaTheme="minorEastAsia" w:hAnsiTheme="minorEastAsia"/>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0A1F3779" w14:textId="77777777" w:rsidR="0064594E" w:rsidRPr="00487553" w:rsidRDefault="0064594E" w:rsidP="00D94E68">
      <w:pPr>
        <w:snapToGrid w:val="0"/>
        <w:spacing w:line="360" w:lineRule="auto"/>
        <w:ind w:firstLine="482"/>
        <w:rPr>
          <w:rFonts w:asciiTheme="minorEastAsia" w:eastAsiaTheme="minorEastAsia" w:hAnsiTheme="minorEastAsia"/>
          <w:b/>
          <w:szCs w:val="21"/>
        </w:rPr>
      </w:pPr>
    </w:p>
    <w:p w14:paraId="6A9FD8E6" w14:textId="11AD36A4" w:rsidR="0064594E" w:rsidRPr="00487553" w:rsidRDefault="0064594E" w:rsidP="001016DC">
      <w:pPr>
        <w:pStyle w:val="11"/>
        <w:numPr>
          <w:ilvl w:val="0"/>
          <w:numId w:val="14"/>
        </w:numPr>
        <w:snapToGrid w:val="0"/>
        <w:spacing w:beforeLines="0" w:afterLines="0" w:line="360" w:lineRule="auto"/>
        <w:ind w:firstLineChars="0"/>
        <w:rPr>
          <w:rFonts w:asciiTheme="minorEastAsia" w:eastAsiaTheme="minorEastAsia" w:hAnsiTheme="minorEastAsia"/>
        </w:rPr>
      </w:pPr>
      <w:bookmarkStart w:id="3" w:name="_Toc38432422"/>
      <w:bookmarkStart w:id="4" w:name="_Toc20148403"/>
      <w:r w:rsidRPr="00487553">
        <w:rPr>
          <w:rFonts w:asciiTheme="minorEastAsia" w:eastAsiaTheme="minorEastAsia" w:hAnsiTheme="minorEastAsia"/>
        </w:rPr>
        <w:lastRenderedPageBreak/>
        <w:t>释义</w:t>
      </w:r>
      <w:bookmarkEnd w:id="3"/>
      <w:bookmarkEnd w:id="4"/>
    </w:p>
    <w:p w14:paraId="1150D563" w14:textId="77777777" w:rsidR="0064594E" w:rsidRPr="00487553" w:rsidRDefault="0064594E"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t>本招募说明书中除非文意另有所指，下列词语有如下含义：</w:t>
      </w:r>
    </w:p>
    <w:tbl>
      <w:tblPr>
        <w:tblW w:w="0" w:type="auto"/>
        <w:tblInd w:w="108" w:type="dxa"/>
        <w:tblLayout w:type="fixed"/>
        <w:tblLook w:val="01E0" w:firstRow="1" w:lastRow="1" w:firstColumn="1" w:lastColumn="1" w:noHBand="0" w:noVBand="0"/>
      </w:tblPr>
      <w:tblGrid>
        <w:gridCol w:w="2700"/>
        <w:gridCol w:w="5714"/>
      </w:tblGrid>
      <w:tr w:rsidR="00446F80" w:rsidRPr="00487553" w14:paraId="14093305" w14:textId="77777777">
        <w:tc>
          <w:tcPr>
            <w:tcW w:w="2700" w:type="dxa"/>
          </w:tcPr>
          <w:p w14:paraId="6516E4AB"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基金或本基金：</w:t>
            </w:r>
          </w:p>
        </w:tc>
        <w:tc>
          <w:tcPr>
            <w:tcW w:w="5714" w:type="dxa"/>
          </w:tcPr>
          <w:p w14:paraId="3A4F6CAE"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bCs/>
                <w:szCs w:val="21"/>
              </w:rPr>
              <w:t>易方达恒生中国企业交易型开放式指数证券投资基金联接基金</w:t>
            </w:r>
            <w:r w:rsidRPr="00487553">
              <w:rPr>
                <w:rFonts w:asciiTheme="minorEastAsia" w:eastAsiaTheme="minorEastAsia" w:hAnsiTheme="minorEastAsia" w:hint="eastAsia"/>
                <w:kern w:val="0"/>
                <w:szCs w:val="21"/>
              </w:rPr>
              <w:t>；</w:t>
            </w:r>
          </w:p>
        </w:tc>
      </w:tr>
      <w:tr w:rsidR="00446F80" w:rsidRPr="00487553" w14:paraId="0AC9DBD3" w14:textId="77777777">
        <w:tc>
          <w:tcPr>
            <w:tcW w:w="2700" w:type="dxa"/>
          </w:tcPr>
          <w:p w14:paraId="3FF6F832"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基金合同</w:t>
            </w:r>
          </w:p>
        </w:tc>
        <w:tc>
          <w:tcPr>
            <w:tcW w:w="5714" w:type="dxa"/>
          </w:tcPr>
          <w:p w14:paraId="009C648B"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bCs/>
                <w:szCs w:val="21"/>
              </w:rPr>
              <w:t>易方达恒生中国企业交易型开放式指数证券投资基金联接基金</w:t>
            </w:r>
            <w:r w:rsidR="004429B1" w:rsidRPr="00487553">
              <w:rPr>
                <w:rFonts w:asciiTheme="minorEastAsia" w:eastAsiaTheme="minorEastAsia" w:hAnsiTheme="minorEastAsia" w:hint="eastAsia"/>
                <w:kern w:val="0"/>
                <w:szCs w:val="21"/>
              </w:rPr>
              <w:t>基金合同》及对基金</w:t>
            </w:r>
            <w:r w:rsidRPr="00487553">
              <w:rPr>
                <w:rFonts w:asciiTheme="minorEastAsia" w:eastAsiaTheme="minorEastAsia" w:hAnsiTheme="minorEastAsia" w:hint="eastAsia"/>
                <w:kern w:val="0"/>
                <w:szCs w:val="21"/>
              </w:rPr>
              <w:t>合同的任何有效修订和补充；</w:t>
            </w:r>
          </w:p>
        </w:tc>
      </w:tr>
      <w:tr w:rsidR="00446F80" w:rsidRPr="00487553" w14:paraId="3554AB52" w14:textId="77777777">
        <w:tc>
          <w:tcPr>
            <w:tcW w:w="2700" w:type="dxa"/>
          </w:tcPr>
          <w:p w14:paraId="7D02F163"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招募说明书：</w:t>
            </w:r>
          </w:p>
        </w:tc>
        <w:tc>
          <w:tcPr>
            <w:tcW w:w="5714" w:type="dxa"/>
          </w:tcPr>
          <w:p w14:paraId="74F35018"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bCs/>
                <w:szCs w:val="21"/>
              </w:rPr>
              <w:t>易方达恒生中国企业交易型开放式指数证券投资基金联接基金</w:t>
            </w:r>
            <w:r w:rsidRPr="00487553">
              <w:rPr>
                <w:rFonts w:asciiTheme="minorEastAsia" w:eastAsiaTheme="minorEastAsia" w:hAnsiTheme="minorEastAsia" w:hint="eastAsia"/>
                <w:kern w:val="0"/>
                <w:szCs w:val="21"/>
              </w:rPr>
              <w:t>招募说明书》及其定期更新；</w:t>
            </w:r>
          </w:p>
        </w:tc>
      </w:tr>
      <w:tr w:rsidR="00446F80" w:rsidRPr="00487553" w14:paraId="27215897" w14:textId="77777777">
        <w:tc>
          <w:tcPr>
            <w:tcW w:w="2700" w:type="dxa"/>
          </w:tcPr>
          <w:p w14:paraId="0C3D3359"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托管协议：</w:t>
            </w:r>
          </w:p>
        </w:tc>
        <w:tc>
          <w:tcPr>
            <w:tcW w:w="5714" w:type="dxa"/>
          </w:tcPr>
          <w:p w14:paraId="22E7868B"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bCs/>
                <w:szCs w:val="21"/>
              </w:rPr>
              <w:t>易方达恒生中国企业交易型开放式指数证券投资基金联接基金</w:t>
            </w:r>
            <w:r w:rsidRPr="00487553">
              <w:rPr>
                <w:rFonts w:asciiTheme="minorEastAsia" w:eastAsiaTheme="minorEastAsia" w:hAnsiTheme="minorEastAsia" w:hint="eastAsia"/>
                <w:kern w:val="0"/>
                <w:szCs w:val="21"/>
              </w:rPr>
              <w:t>托管协议》及其任何有效修订和补充；</w:t>
            </w:r>
          </w:p>
        </w:tc>
      </w:tr>
      <w:tr w:rsidR="00446F80" w:rsidRPr="00487553" w14:paraId="27F18F25" w14:textId="77777777">
        <w:tc>
          <w:tcPr>
            <w:tcW w:w="2700" w:type="dxa"/>
          </w:tcPr>
          <w:p w14:paraId="45506761"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发售公告：</w:t>
            </w:r>
          </w:p>
        </w:tc>
        <w:tc>
          <w:tcPr>
            <w:tcW w:w="5714" w:type="dxa"/>
          </w:tcPr>
          <w:p w14:paraId="389ADBDD"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bCs/>
                <w:szCs w:val="21"/>
              </w:rPr>
              <w:t>易方达恒生中国企业交易型开放式指数证券投资基金联接基金</w:t>
            </w:r>
            <w:r w:rsidRPr="00487553">
              <w:rPr>
                <w:rFonts w:asciiTheme="minorEastAsia" w:eastAsiaTheme="minorEastAsia" w:hAnsiTheme="minorEastAsia" w:hint="eastAsia"/>
                <w:kern w:val="0"/>
                <w:szCs w:val="21"/>
              </w:rPr>
              <w:t>基金份额发售公告》；</w:t>
            </w:r>
          </w:p>
        </w:tc>
      </w:tr>
      <w:tr w:rsidR="00446F80" w:rsidRPr="00487553" w14:paraId="0FBB64ED" w14:textId="77777777">
        <w:tc>
          <w:tcPr>
            <w:tcW w:w="2700" w:type="dxa"/>
          </w:tcPr>
          <w:p w14:paraId="790D3A75"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中国：</w:t>
            </w:r>
          </w:p>
        </w:tc>
        <w:tc>
          <w:tcPr>
            <w:tcW w:w="5714" w:type="dxa"/>
          </w:tcPr>
          <w:p w14:paraId="0B88874E" w14:textId="77777777" w:rsidR="009A2228" w:rsidRPr="00487553" w:rsidRDefault="003620DD"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指中华人民共和国，为基金</w:t>
            </w:r>
            <w:r w:rsidR="009A2228" w:rsidRPr="00487553">
              <w:rPr>
                <w:rFonts w:asciiTheme="minorEastAsia" w:eastAsiaTheme="minorEastAsia" w:hAnsiTheme="minorEastAsia" w:hint="eastAsia"/>
                <w:kern w:val="0"/>
                <w:szCs w:val="21"/>
              </w:rPr>
              <w:t>合同之目的，不包括香港特别行政区、澳门特别行政区及台湾地区；</w:t>
            </w:r>
          </w:p>
        </w:tc>
      </w:tr>
      <w:tr w:rsidR="00446F80" w:rsidRPr="00487553" w14:paraId="757F8AE5" w14:textId="77777777">
        <w:tc>
          <w:tcPr>
            <w:tcW w:w="2700" w:type="dxa"/>
          </w:tcPr>
          <w:p w14:paraId="231B844F"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中国证监会：</w:t>
            </w:r>
          </w:p>
        </w:tc>
        <w:tc>
          <w:tcPr>
            <w:tcW w:w="5714" w:type="dxa"/>
          </w:tcPr>
          <w:p w14:paraId="71AF849E"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指中国证券监督管理委员会；</w:t>
            </w:r>
          </w:p>
        </w:tc>
      </w:tr>
      <w:tr w:rsidR="00446F80" w:rsidRPr="00487553" w14:paraId="5A89A60A" w14:textId="77777777">
        <w:tc>
          <w:tcPr>
            <w:tcW w:w="2700" w:type="dxa"/>
          </w:tcPr>
          <w:p w14:paraId="390069CE" w14:textId="714BC61F"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中国银</w:t>
            </w:r>
            <w:r w:rsidR="001917EB" w:rsidRPr="00487553">
              <w:rPr>
                <w:rFonts w:asciiTheme="minorEastAsia" w:eastAsiaTheme="minorEastAsia" w:hAnsiTheme="minorEastAsia" w:hint="eastAsia"/>
                <w:kern w:val="0"/>
                <w:szCs w:val="21"/>
              </w:rPr>
              <w:t>保</w:t>
            </w:r>
            <w:r w:rsidRPr="00487553">
              <w:rPr>
                <w:rFonts w:asciiTheme="minorEastAsia" w:eastAsiaTheme="minorEastAsia" w:hAnsiTheme="minorEastAsia" w:hint="eastAsia"/>
                <w:kern w:val="0"/>
                <w:szCs w:val="21"/>
              </w:rPr>
              <w:t>监会：</w:t>
            </w:r>
          </w:p>
        </w:tc>
        <w:tc>
          <w:tcPr>
            <w:tcW w:w="5714" w:type="dxa"/>
          </w:tcPr>
          <w:p w14:paraId="5FE7CBFE" w14:textId="427857D3"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001917EB" w:rsidRPr="00487553">
              <w:rPr>
                <w:rStyle w:val="da"/>
                <w:rFonts w:asciiTheme="minorEastAsia" w:eastAsiaTheme="minorEastAsia" w:hAnsiTheme="minorEastAsia" w:hint="eastAsia"/>
              </w:rPr>
              <w:t>中国银行保险监督管理委员会</w:t>
            </w:r>
            <w:r w:rsidRPr="00487553">
              <w:rPr>
                <w:rFonts w:asciiTheme="minorEastAsia" w:eastAsiaTheme="minorEastAsia" w:hAnsiTheme="minorEastAsia" w:hint="eastAsia"/>
                <w:kern w:val="0"/>
                <w:szCs w:val="21"/>
              </w:rPr>
              <w:t>；</w:t>
            </w:r>
          </w:p>
        </w:tc>
      </w:tr>
      <w:tr w:rsidR="00446F80" w:rsidRPr="00487553" w14:paraId="5EAA58DA" w14:textId="77777777">
        <w:tc>
          <w:tcPr>
            <w:tcW w:w="2700" w:type="dxa"/>
          </w:tcPr>
          <w:p w14:paraId="6DB3B482"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外汇局：</w:t>
            </w:r>
          </w:p>
        </w:tc>
        <w:tc>
          <w:tcPr>
            <w:tcW w:w="5714" w:type="dxa"/>
          </w:tcPr>
          <w:p w14:paraId="2220C821"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指国家外汇管理局；</w:t>
            </w:r>
          </w:p>
        </w:tc>
      </w:tr>
      <w:tr w:rsidR="00446F80" w:rsidRPr="00487553" w14:paraId="1E6A55BF" w14:textId="77777777">
        <w:tc>
          <w:tcPr>
            <w:tcW w:w="2700" w:type="dxa"/>
          </w:tcPr>
          <w:p w14:paraId="481F8C3F"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《基金法》：</w:t>
            </w:r>
          </w:p>
        </w:tc>
        <w:tc>
          <w:tcPr>
            <w:tcW w:w="5714" w:type="dxa"/>
          </w:tcPr>
          <w:p w14:paraId="7D5419AF" w14:textId="77777777" w:rsidR="009A2228" w:rsidRPr="00487553" w:rsidRDefault="009A2228" w:rsidP="00D94E68">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指《中华人民共和国证券投资基金法》；</w:t>
            </w:r>
          </w:p>
        </w:tc>
      </w:tr>
      <w:tr w:rsidR="00513A34" w:rsidRPr="00487553" w14:paraId="708A607E" w14:textId="77777777">
        <w:tc>
          <w:tcPr>
            <w:tcW w:w="2700" w:type="dxa"/>
          </w:tcPr>
          <w:p w14:paraId="70684DE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《管理规定》：</w:t>
            </w:r>
          </w:p>
        </w:tc>
        <w:tc>
          <w:tcPr>
            <w:tcW w:w="5714" w:type="dxa"/>
          </w:tcPr>
          <w:p w14:paraId="6C82C9F3"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指中国证监会2017年8月31日颁布、同年10月1日实施的《公开募集开放式证券投资基金流动性风险管理规定》及颁布机关对其不时做出的修订；</w:t>
            </w:r>
          </w:p>
        </w:tc>
      </w:tr>
      <w:tr w:rsidR="00513A34" w:rsidRPr="00487553" w14:paraId="31052236" w14:textId="77777777">
        <w:tc>
          <w:tcPr>
            <w:tcW w:w="2700" w:type="dxa"/>
          </w:tcPr>
          <w:p w14:paraId="07A4AD4D"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元：</w:t>
            </w:r>
          </w:p>
        </w:tc>
        <w:tc>
          <w:tcPr>
            <w:tcW w:w="5714" w:type="dxa"/>
          </w:tcPr>
          <w:p w14:paraId="53990943"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如无特指，指人民币；</w:t>
            </w:r>
          </w:p>
        </w:tc>
      </w:tr>
      <w:tr w:rsidR="00513A34" w:rsidRPr="00487553" w14:paraId="39A3D6A4" w14:textId="77777777">
        <w:tc>
          <w:tcPr>
            <w:tcW w:w="2700" w:type="dxa"/>
          </w:tcPr>
          <w:p w14:paraId="2CFE476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基金合同当事人：</w:t>
            </w:r>
          </w:p>
        </w:tc>
        <w:tc>
          <w:tcPr>
            <w:tcW w:w="5714" w:type="dxa"/>
          </w:tcPr>
          <w:p w14:paraId="3206602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指受基金合同约束，根据基金合同享受权利并承担义务的法律主体，包括基金管理人、基金托管人和基金份额持有人；</w:t>
            </w:r>
          </w:p>
        </w:tc>
      </w:tr>
      <w:tr w:rsidR="00513A34" w:rsidRPr="00487553" w14:paraId="7D259F5F" w14:textId="77777777">
        <w:tc>
          <w:tcPr>
            <w:tcW w:w="2700" w:type="dxa"/>
          </w:tcPr>
          <w:p w14:paraId="5D6E31E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w:t>
            </w:r>
          </w:p>
        </w:tc>
        <w:tc>
          <w:tcPr>
            <w:tcW w:w="5714" w:type="dxa"/>
          </w:tcPr>
          <w:p w14:paraId="677E8E4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指易方达基金管理有限公司；</w:t>
            </w:r>
          </w:p>
        </w:tc>
      </w:tr>
      <w:tr w:rsidR="00513A34" w:rsidRPr="00487553" w14:paraId="0CBA57CC" w14:textId="77777777">
        <w:tc>
          <w:tcPr>
            <w:tcW w:w="2700" w:type="dxa"/>
          </w:tcPr>
          <w:p w14:paraId="275FEE5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w:t>
            </w:r>
          </w:p>
        </w:tc>
        <w:tc>
          <w:tcPr>
            <w:tcW w:w="5714" w:type="dxa"/>
          </w:tcPr>
          <w:p w14:paraId="2646FF3C"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指交通银行股份有限公司；</w:t>
            </w:r>
          </w:p>
        </w:tc>
      </w:tr>
      <w:tr w:rsidR="00513A34" w:rsidRPr="00487553" w14:paraId="005C4A80" w14:textId="77777777">
        <w:tc>
          <w:tcPr>
            <w:tcW w:w="2700" w:type="dxa"/>
          </w:tcPr>
          <w:p w14:paraId="63C6ED0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境外托管人：</w:t>
            </w:r>
          </w:p>
        </w:tc>
        <w:tc>
          <w:tcPr>
            <w:tcW w:w="5714" w:type="dxa"/>
          </w:tcPr>
          <w:p w14:paraId="617FD6B2"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指基金托管人委托的、负责基金境外财产的保管、存管、清算等业务的金融机构；</w:t>
            </w:r>
          </w:p>
        </w:tc>
      </w:tr>
      <w:tr w:rsidR="00513A34" w:rsidRPr="00487553" w14:paraId="77AB78CD" w14:textId="77777777">
        <w:tc>
          <w:tcPr>
            <w:tcW w:w="2700" w:type="dxa"/>
          </w:tcPr>
          <w:p w14:paraId="6FA2D030"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境外投资顾问：</w:t>
            </w:r>
          </w:p>
        </w:tc>
        <w:tc>
          <w:tcPr>
            <w:tcW w:w="5714" w:type="dxa"/>
          </w:tcPr>
          <w:p w14:paraId="5419AA6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是指符合</w:t>
            </w:r>
            <w:r w:rsidRPr="00487553">
              <w:rPr>
                <w:rFonts w:asciiTheme="minorEastAsia" w:eastAsiaTheme="minorEastAsia" w:hAnsiTheme="minorEastAsia"/>
                <w:szCs w:val="21"/>
              </w:rPr>
              <w:t>《试行办法》</w:t>
            </w:r>
            <w:r w:rsidRPr="00487553">
              <w:rPr>
                <w:rFonts w:asciiTheme="minorEastAsia" w:eastAsiaTheme="minorEastAsia" w:hAnsiTheme="minorEastAsia"/>
                <w:kern w:val="0"/>
                <w:szCs w:val="21"/>
              </w:rPr>
              <w:t>规定的条件，根据</w:t>
            </w:r>
            <w:r w:rsidRPr="00487553">
              <w:rPr>
                <w:rFonts w:asciiTheme="minorEastAsia" w:eastAsiaTheme="minorEastAsia" w:hAnsiTheme="minorEastAsia" w:hint="eastAsia"/>
                <w:kern w:val="0"/>
                <w:szCs w:val="21"/>
              </w:rPr>
              <w:t>基金</w:t>
            </w:r>
            <w:r w:rsidRPr="00487553">
              <w:rPr>
                <w:rFonts w:asciiTheme="minorEastAsia" w:eastAsiaTheme="minorEastAsia" w:hAnsiTheme="minorEastAsia"/>
                <w:kern w:val="0"/>
                <w:szCs w:val="21"/>
              </w:rPr>
              <w:t>合同为</w:t>
            </w:r>
            <w:r w:rsidRPr="00487553">
              <w:rPr>
                <w:rFonts w:asciiTheme="minorEastAsia" w:eastAsiaTheme="minorEastAsia" w:hAnsiTheme="minorEastAsia" w:hint="eastAsia"/>
                <w:kern w:val="0"/>
                <w:szCs w:val="21"/>
              </w:rPr>
              <w:t>基金管理人</w:t>
            </w:r>
            <w:r w:rsidRPr="00487553">
              <w:rPr>
                <w:rFonts w:asciiTheme="minorEastAsia" w:eastAsiaTheme="minorEastAsia" w:hAnsiTheme="minorEastAsia"/>
                <w:kern w:val="0"/>
                <w:szCs w:val="21"/>
              </w:rPr>
              <w:t>境外证券投资提供证券买卖建议或投资组合管理等服务并取得收入的境外金融机构</w:t>
            </w:r>
            <w:r w:rsidRPr="00487553">
              <w:rPr>
                <w:rFonts w:asciiTheme="minorEastAsia" w:eastAsiaTheme="minorEastAsia" w:hAnsiTheme="minorEastAsia" w:hint="eastAsia"/>
                <w:kern w:val="0"/>
                <w:szCs w:val="21"/>
              </w:rPr>
              <w:t>；</w:t>
            </w:r>
          </w:p>
        </w:tc>
      </w:tr>
      <w:tr w:rsidR="00513A34" w:rsidRPr="00487553" w14:paraId="02880C56" w14:textId="77777777">
        <w:tc>
          <w:tcPr>
            <w:tcW w:w="2700" w:type="dxa"/>
          </w:tcPr>
          <w:p w14:paraId="08463794"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注册登记业务：</w:t>
            </w:r>
          </w:p>
        </w:tc>
        <w:tc>
          <w:tcPr>
            <w:tcW w:w="5714" w:type="dxa"/>
          </w:tcPr>
          <w:p w14:paraId="08CED9D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指本基金登记、存管、清算和交收业务，具体内容包括投资者基金账户管理、基金份额注册登记、清算及基金交易确认、</w:t>
            </w:r>
            <w:r w:rsidRPr="00487553">
              <w:rPr>
                <w:rFonts w:asciiTheme="minorEastAsia" w:eastAsiaTheme="minorEastAsia" w:hAnsiTheme="minorEastAsia" w:hint="eastAsia"/>
                <w:kern w:val="0"/>
                <w:szCs w:val="21"/>
              </w:rPr>
              <w:lastRenderedPageBreak/>
              <w:t>发放红利、建立并保管基金份额持有人名册、办理非交易过户业务等；</w:t>
            </w:r>
          </w:p>
        </w:tc>
      </w:tr>
      <w:tr w:rsidR="00513A34" w:rsidRPr="00487553" w14:paraId="2E783A83" w14:textId="77777777">
        <w:tc>
          <w:tcPr>
            <w:tcW w:w="2700" w:type="dxa"/>
          </w:tcPr>
          <w:p w14:paraId="384E030E"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注册登记机构：</w:t>
            </w:r>
          </w:p>
        </w:tc>
        <w:tc>
          <w:tcPr>
            <w:tcW w:w="5714" w:type="dxa"/>
          </w:tcPr>
          <w:p w14:paraId="23D7F254"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指办理本基金注册登记业务的机构。本基金的注册登记机构为易方达基金管理有限公司或接受易方达基金管理有限公司委托代为办理本基金注册登记业务的机构；</w:t>
            </w:r>
          </w:p>
        </w:tc>
      </w:tr>
      <w:tr w:rsidR="00513A34" w:rsidRPr="00487553" w14:paraId="086DF135" w14:textId="77777777">
        <w:tc>
          <w:tcPr>
            <w:tcW w:w="2700" w:type="dxa"/>
          </w:tcPr>
          <w:p w14:paraId="55697DB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投资者：</w:t>
            </w:r>
          </w:p>
        </w:tc>
        <w:tc>
          <w:tcPr>
            <w:tcW w:w="5714" w:type="dxa"/>
          </w:tcPr>
          <w:p w14:paraId="4B07E1C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指符合法律法规规定的个人投资者、机构投资者、合格境外机构投资者和法律法规或中国证监会允许购买证券投资基金的其他投资者；</w:t>
            </w:r>
          </w:p>
        </w:tc>
      </w:tr>
      <w:tr w:rsidR="00513A34" w:rsidRPr="00487553" w14:paraId="1ED1C991" w14:textId="77777777">
        <w:tc>
          <w:tcPr>
            <w:tcW w:w="2700" w:type="dxa"/>
          </w:tcPr>
          <w:p w14:paraId="7CCB242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个人投资者：</w:t>
            </w:r>
          </w:p>
        </w:tc>
        <w:tc>
          <w:tcPr>
            <w:tcW w:w="5714" w:type="dxa"/>
          </w:tcPr>
          <w:p w14:paraId="18375C04"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指依据中国有关法律法规可以投资于证券投资基金的自然人；</w:t>
            </w:r>
          </w:p>
        </w:tc>
      </w:tr>
      <w:tr w:rsidR="00513A34" w:rsidRPr="00487553" w14:paraId="39175557" w14:textId="77777777">
        <w:tc>
          <w:tcPr>
            <w:tcW w:w="2700" w:type="dxa"/>
          </w:tcPr>
          <w:p w14:paraId="712E776B"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机构投资者：</w:t>
            </w:r>
          </w:p>
        </w:tc>
        <w:tc>
          <w:tcPr>
            <w:tcW w:w="5714" w:type="dxa"/>
          </w:tcPr>
          <w:p w14:paraId="1EA84978"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指在中国境内合法注册登记或经有权政府部门批准设立和有效存续并依法可以投资于证券投资基金的企业法人、事业法人、社会团体或其他组织；</w:t>
            </w:r>
          </w:p>
        </w:tc>
      </w:tr>
      <w:tr w:rsidR="00513A34" w:rsidRPr="00487553" w14:paraId="0F8069FC" w14:textId="77777777">
        <w:tc>
          <w:tcPr>
            <w:tcW w:w="2700" w:type="dxa"/>
          </w:tcPr>
          <w:p w14:paraId="4F31AEC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szCs w:val="21"/>
              </w:rPr>
              <w:t>合格境外机构投资者</w:t>
            </w:r>
            <w:r w:rsidRPr="00487553">
              <w:rPr>
                <w:rFonts w:asciiTheme="minorEastAsia" w:eastAsiaTheme="minorEastAsia" w:hAnsiTheme="minorEastAsia" w:hint="eastAsia"/>
                <w:b/>
                <w:bCs/>
                <w:kern w:val="0"/>
                <w:szCs w:val="21"/>
              </w:rPr>
              <w:t>：</w:t>
            </w:r>
          </w:p>
        </w:tc>
        <w:tc>
          <w:tcPr>
            <w:tcW w:w="5714" w:type="dxa"/>
          </w:tcPr>
          <w:p w14:paraId="400B6076"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hint="eastAsia"/>
                <w:szCs w:val="21"/>
              </w:rPr>
              <w:t>符合《合格境外机构投资者境内证券投资管理办法》及相关法律法规规定的可投资于中国境内合法募集的证券投资基金的中国境外的</w:t>
            </w:r>
            <w:r w:rsidRPr="00487553">
              <w:rPr>
                <w:rFonts w:asciiTheme="minorEastAsia" w:eastAsiaTheme="minorEastAsia" w:hAnsiTheme="minorEastAsia"/>
                <w:szCs w:val="21"/>
              </w:rPr>
              <w:t>基金管理机构、保险公司、证券公司以及其他资产管理机构</w:t>
            </w:r>
            <w:r w:rsidRPr="00487553">
              <w:rPr>
                <w:rFonts w:asciiTheme="minorEastAsia" w:eastAsiaTheme="minorEastAsia" w:hAnsiTheme="minorEastAsia" w:hint="eastAsia"/>
                <w:kern w:val="0"/>
                <w:szCs w:val="21"/>
              </w:rPr>
              <w:t>；</w:t>
            </w:r>
          </w:p>
        </w:tc>
      </w:tr>
      <w:tr w:rsidR="00513A34" w:rsidRPr="00487553" w14:paraId="76BD0294" w14:textId="77777777">
        <w:tc>
          <w:tcPr>
            <w:tcW w:w="2700" w:type="dxa"/>
          </w:tcPr>
          <w:p w14:paraId="4C6E973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基金募集期：</w:t>
            </w:r>
          </w:p>
        </w:tc>
        <w:tc>
          <w:tcPr>
            <w:tcW w:w="5714" w:type="dxa"/>
          </w:tcPr>
          <w:p w14:paraId="49AC6C2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指基金合同和招募说明书中载明，并经中国证监会核准的基金份额募集期限，自基金份额发售之日起最长不超过三个月；</w:t>
            </w:r>
          </w:p>
        </w:tc>
      </w:tr>
      <w:tr w:rsidR="00513A34" w:rsidRPr="00487553" w14:paraId="52DA148C" w14:textId="77777777">
        <w:tc>
          <w:tcPr>
            <w:tcW w:w="2700" w:type="dxa"/>
          </w:tcPr>
          <w:p w14:paraId="4C18EABD"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基金合同生效日：</w:t>
            </w:r>
          </w:p>
        </w:tc>
        <w:tc>
          <w:tcPr>
            <w:tcW w:w="5714" w:type="dxa"/>
          </w:tcPr>
          <w:p w14:paraId="72F241F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基金募集达到法律规定及基金合同约定的条件，基金管理人聘请法定机构验资并办理完毕基金合同备案手续,获得中国证监会书面确认之日；</w:t>
            </w:r>
          </w:p>
        </w:tc>
      </w:tr>
      <w:tr w:rsidR="00513A34" w:rsidRPr="00487553" w14:paraId="10A954EC" w14:textId="77777777">
        <w:tc>
          <w:tcPr>
            <w:tcW w:w="2700" w:type="dxa"/>
          </w:tcPr>
          <w:p w14:paraId="13531B1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存续期：</w:t>
            </w:r>
          </w:p>
        </w:tc>
        <w:tc>
          <w:tcPr>
            <w:tcW w:w="5714" w:type="dxa"/>
          </w:tcPr>
          <w:p w14:paraId="7643588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指基金合同生效至终止之间的不定期期限；</w:t>
            </w:r>
          </w:p>
        </w:tc>
      </w:tr>
      <w:tr w:rsidR="00513A34" w:rsidRPr="00487553" w14:paraId="7F260D9D" w14:textId="77777777">
        <w:tc>
          <w:tcPr>
            <w:tcW w:w="2700" w:type="dxa"/>
          </w:tcPr>
          <w:p w14:paraId="4B2B95A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日/天</w:t>
            </w:r>
            <w:r w:rsidRPr="00487553">
              <w:rPr>
                <w:rFonts w:asciiTheme="minorEastAsia" w:eastAsiaTheme="minorEastAsia" w:hAnsiTheme="minorEastAsia" w:hint="eastAsia"/>
                <w:kern w:val="0"/>
                <w:szCs w:val="21"/>
              </w:rPr>
              <w:t>：</w:t>
            </w:r>
          </w:p>
        </w:tc>
        <w:tc>
          <w:tcPr>
            <w:tcW w:w="5714" w:type="dxa"/>
          </w:tcPr>
          <w:p w14:paraId="62194983"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指公历日</w:t>
            </w:r>
            <w:r w:rsidRPr="00487553">
              <w:rPr>
                <w:rFonts w:asciiTheme="minorEastAsia" w:eastAsiaTheme="minorEastAsia" w:hAnsiTheme="minorEastAsia" w:hint="eastAsia"/>
                <w:kern w:val="0"/>
                <w:szCs w:val="21"/>
              </w:rPr>
              <w:t>；</w:t>
            </w:r>
          </w:p>
        </w:tc>
      </w:tr>
      <w:tr w:rsidR="00513A34" w:rsidRPr="00487553" w14:paraId="49681140" w14:textId="77777777">
        <w:tc>
          <w:tcPr>
            <w:tcW w:w="2700" w:type="dxa"/>
          </w:tcPr>
          <w:p w14:paraId="71E536DE"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月</w:t>
            </w:r>
            <w:r w:rsidRPr="00487553">
              <w:rPr>
                <w:rFonts w:asciiTheme="minorEastAsia" w:eastAsiaTheme="minorEastAsia" w:hAnsiTheme="minorEastAsia" w:hint="eastAsia"/>
                <w:kern w:val="0"/>
                <w:szCs w:val="21"/>
              </w:rPr>
              <w:t>：</w:t>
            </w:r>
          </w:p>
        </w:tc>
        <w:tc>
          <w:tcPr>
            <w:tcW w:w="5714" w:type="dxa"/>
          </w:tcPr>
          <w:p w14:paraId="0176E627"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指公历月</w:t>
            </w:r>
            <w:r w:rsidRPr="00487553">
              <w:rPr>
                <w:rFonts w:asciiTheme="minorEastAsia" w:eastAsiaTheme="minorEastAsia" w:hAnsiTheme="minorEastAsia" w:hint="eastAsia"/>
                <w:kern w:val="0"/>
                <w:szCs w:val="21"/>
              </w:rPr>
              <w:t>；</w:t>
            </w:r>
          </w:p>
        </w:tc>
      </w:tr>
      <w:tr w:rsidR="00513A34" w:rsidRPr="00487553" w14:paraId="08925954" w14:textId="77777777">
        <w:tc>
          <w:tcPr>
            <w:tcW w:w="2700" w:type="dxa"/>
          </w:tcPr>
          <w:p w14:paraId="386AAF1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工作日：</w:t>
            </w:r>
          </w:p>
        </w:tc>
        <w:tc>
          <w:tcPr>
            <w:tcW w:w="5714" w:type="dxa"/>
          </w:tcPr>
          <w:p w14:paraId="6FCC3822"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指上海证券交易所和深圳证券交易所的正常交易日；</w:t>
            </w:r>
          </w:p>
        </w:tc>
      </w:tr>
      <w:tr w:rsidR="00513A34" w:rsidRPr="00487553" w14:paraId="45DFA968" w14:textId="77777777">
        <w:tc>
          <w:tcPr>
            <w:tcW w:w="2700" w:type="dxa"/>
          </w:tcPr>
          <w:p w14:paraId="7179B16C"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开放日：</w:t>
            </w:r>
          </w:p>
        </w:tc>
        <w:tc>
          <w:tcPr>
            <w:tcW w:w="5714" w:type="dxa"/>
          </w:tcPr>
          <w:p w14:paraId="6498682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指销售机构为投资者办理基金申购、赎回等业务的工作日；</w:t>
            </w:r>
          </w:p>
        </w:tc>
      </w:tr>
      <w:tr w:rsidR="00513A34" w:rsidRPr="00487553" w14:paraId="5C9EF923" w14:textId="77777777">
        <w:tc>
          <w:tcPr>
            <w:tcW w:w="2700" w:type="dxa"/>
          </w:tcPr>
          <w:p w14:paraId="3072D87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认购：</w:t>
            </w:r>
          </w:p>
        </w:tc>
        <w:tc>
          <w:tcPr>
            <w:tcW w:w="5714" w:type="dxa"/>
          </w:tcPr>
          <w:p w14:paraId="40E642D7"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指在基金募集期内，投资者按照基金合同的规定申请购买本基金基金份额的行为；</w:t>
            </w:r>
          </w:p>
        </w:tc>
      </w:tr>
      <w:tr w:rsidR="00513A34" w:rsidRPr="00487553" w14:paraId="5B40E46E" w14:textId="77777777">
        <w:tc>
          <w:tcPr>
            <w:tcW w:w="2700" w:type="dxa"/>
          </w:tcPr>
          <w:p w14:paraId="59C8950C"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申购：</w:t>
            </w:r>
          </w:p>
        </w:tc>
        <w:tc>
          <w:tcPr>
            <w:tcW w:w="5714" w:type="dxa"/>
          </w:tcPr>
          <w:p w14:paraId="7F0AC552"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指在基金合同生效后的存续期间，投资者申请购买本基金基金份额的行为；</w:t>
            </w:r>
          </w:p>
        </w:tc>
      </w:tr>
      <w:tr w:rsidR="00513A34" w:rsidRPr="00487553" w14:paraId="3EB7D600" w14:textId="77777777">
        <w:tc>
          <w:tcPr>
            <w:tcW w:w="2700" w:type="dxa"/>
          </w:tcPr>
          <w:p w14:paraId="638843B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赎回：</w:t>
            </w:r>
          </w:p>
        </w:tc>
        <w:tc>
          <w:tcPr>
            <w:tcW w:w="5714" w:type="dxa"/>
          </w:tcPr>
          <w:p w14:paraId="7D9B026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指在基金合同生效后的存续期间，基金份额持有人按基金合同规定的条件要求将所持基金份额兑换为现金的行为；</w:t>
            </w:r>
          </w:p>
        </w:tc>
      </w:tr>
      <w:tr w:rsidR="00513A34" w:rsidRPr="00487553" w14:paraId="3FF00B4F" w14:textId="77777777">
        <w:tc>
          <w:tcPr>
            <w:tcW w:w="2700" w:type="dxa"/>
          </w:tcPr>
          <w:p w14:paraId="2D999AD6"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基金转换：</w:t>
            </w:r>
          </w:p>
        </w:tc>
        <w:tc>
          <w:tcPr>
            <w:tcW w:w="5714" w:type="dxa"/>
          </w:tcPr>
          <w:p w14:paraId="78D5DF9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指基金份额持有人按基金管理人规定的条件，申请将其持有</w:t>
            </w:r>
            <w:r w:rsidRPr="00487553">
              <w:rPr>
                <w:rFonts w:asciiTheme="minorEastAsia" w:eastAsiaTheme="minorEastAsia" w:hAnsiTheme="minorEastAsia" w:hint="eastAsia"/>
                <w:kern w:val="0"/>
                <w:szCs w:val="21"/>
              </w:rPr>
              <w:lastRenderedPageBreak/>
              <w:t>的基金管理人管理的某一基金的基金份额转换为基金管理人管理的其他基金的基金份额的行为；</w:t>
            </w:r>
          </w:p>
        </w:tc>
      </w:tr>
      <w:tr w:rsidR="00513A34" w:rsidRPr="00487553" w14:paraId="69724932" w14:textId="77777777">
        <w:tc>
          <w:tcPr>
            <w:tcW w:w="2700" w:type="dxa"/>
          </w:tcPr>
          <w:p w14:paraId="76EEB2FB"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转托管：</w:t>
            </w:r>
          </w:p>
        </w:tc>
        <w:tc>
          <w:tcPr>
            <w:tcW w:w="5714" w:type="dxa"/>
          </w:tcPr>
          <w:p w14:paraId="3E554CDB"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指基金份额持有人将其持有的同一基金账户下的基金份额从某一交易账户转入另一交易账户的行为；</w:t>
            </w:r>
          </w:p>
        </w:tc>
      </w:tr>
      <w:tr w:rsidR="00513A34" w:rsidRPr="00487553" w14:paraId="1D69D576" w14:textId="77777777">
        <w:tc>
          <w:tcPr>
            <w:tcW w:w="2700" w:type="dxa"/>
          </w:tcPr>
          <w:p w14:paraId="606EE29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投资指令：</w:t>
            </w:r>
          </w:p>
        </w:tc>
        <w:tc>
          <w:tcPr>
            <w:tcW w:w="5714" w:type="dxa"/>
          </w:tcPr>
          <w:p w14:paraId="18F8D757"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指基金管理人或其委托的第三方机构在运用基金财产进行投资时，向基金托管人发出的资金划拨及实物券调拨等指令；</w:t>
            </w:r>
          </w:p>
        </w:tc>
      </w:tr>
      <w:tr w:rsidR="00513A34" w:rsidRPr="00487553" w14:paraId="3BEEE4EA" w14:textId="77777777">
        <w:tc>
          <w:tcPr>
            <w:tcW w:w="2700" w:type="dxa"/>
          </w:tcPr>
          <w:p w14:paraId="002ED3D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非直销销售机构：</w:t>
            </w:r>
          </w:p>
        </w:tc>
        <w:tc>
          <w:tcPr>
            <w:tcW w:w="5714" w:type="dxa"/>
          </w:tcPr>
          <w:p w14:paraId="1F813C3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Style w:val="da"/>
                <w:rFonts w:asciiTheme="minorEastAsia" w:eastAsiaTheme="minorEastAsia" w:hAnsiTheme="minorEastAsia" w:hint="eastAsia"/>
              </w:rPr>
              <w:t>指符合《销售办法》和中国证监会规定的其他条件，取得基金销售业务资格并与基金管理人签订了基金销售服务协议，办理基金销售业务的机构</w:t>
            </w:r>
            <w:r w:rsidRPr="00487553">
              <w:rPr>
                <w:rFonts w:asciiTheme="minorEastAsia" w:eastAsiaTheme="minorEastAsia" w:hAnsiTheme="minorEastAsia" w:hint="eastAsia"/>
                <w:kern w:val="0"/>
                <w:szCs w:val="21"/>
              </w:rPr>
              <w:t>；</w:t>
            </w:r>
          </w:p>
        </w:tc>
      </w:tr>
      <w:tr w:rsidR="00513A34" w:rsidRPr="00487553" w14:paraId="6A9C57E5" w14:textId="77777777">
        <w:tc>
          <w:tcPr>
            <w:tcW w:w="2700" w:type="dxa"/>
          </w:tcPr>
          <w:p w14:paraId="56D0C750"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直销机构：</w:t>
            </w:r>
          </w:p>
        </w:tc>
        <w:tc>
          <w:tcPr>
            <w:tcW w:w="5714" w:type="dxa"/>
          </w:tcPr>
          <w:p w14:paraId="227B2DE4" w14:textId="77777777" w:rsidR="00513A34" w:rsidRPr="00487553" w:rsidRDefault="00513A34" w:rsidP="00513A34">
            <w:pPr>
              <w:tabs>
                <w:tab w:val="left" w:pos="2310"/>
              </w:tabs>
              <w:snapToGrid w:val="0"/>
              <w:spacing w:line="360" w:lineRule="auto"/>
              <w:rPr>
                <w:rStyle w:val="da"/>
                <w:rFonts w:asciiTheme="minorEastAsia" w:eastAsiaTheme="minorEastAsia" w:hAnsiTheme="minorEastAsia"/>
              </w:rPr>
            </w:pPr>
            <w:r w:rsidRPr="00487553">
              <w:rPr>
                <w:rStyle w:val="da"/>
                <w:rFonts w:asciiTheme="minorEastAsia" w:eastAsiaTheme="minorEastAsia" w:hAnsiTheme="minorEastAsia" w:hint="eastAsia"/>
              </w:rPr>
              <w:t>指易方达基金管理有限公司；</w:t>
            </w:r>
          </w:p>
        </w:tc>
      </w:tr>
      <w:tr w:rsidR="00513A34" w:rsidRPr="00487553" w14:paraId="4E658854" w14:textId="77777777">
        <w:tc>
          <w:tcPr>
            <w:tcW w:w="2700" w:type="dxa"/>
          </w:tcPr>
          <w:p w14:paraId="0AE4E4C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销售机构：</w:t>
            </w:r>
          </w:p>
        </w:tc>
        <w:tc>
          <w:tcPr>
            <w:tcW w:w="5714" w:type="dxa"/>
          </w:tcPr>
          <w:p w14:paraId="0A287D8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指基金管理人及非直销销售机构；</w:t>
            </w:r>
          </w:p>
        </w:tc>
      </w:tr>
      <w:tr w:rsidR="00513A34" w:rsidRPr="00487553" w14:paraId="09CC520E" w14:textId="77777777">
        <w:tc>
          <w:tcPr>
            <w:tcW w:w="2700" w:type="dxa"/>
          </w:tcPr>
          <w:p w14:paraId="282BCCE4"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基金销售网点：</w:t>
            </w:r>
          </w:p>
        </w:tc>
        <w:tc>
          <w:tcPr>
            <w:tcW w:w="5714" w:type="dxa"/>
          </w:tcPr>
          <w:p w14:paraId="3360208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szCs w:val="21"/>
              </w:rPr>
              <w:t>指基金管理人的直销网点及</w:t>
            </w:r>
            <w:r w:rsidRPr="00487553">
              <w:rPr>
                <w:rStyle w:val="da"/>
                <w:rFonts w:asciiTheme="minorEastAsia" w:eastAsiaTheme="minorEastAsia" w:hAnsiTheme="minorEastAsia" w:hint="eastAsia"/>
              </w:rPr>
              <w:t>非直销销售机构</w:t>
            </w:r>
            <w:r w:rsidRPr="00487553">
              <w:rPr>
                <w:rFonts w:asciiTheme="minorEastAsia" w:eastAsiaTheme="minorEastAsia" w:hAnsiTheme="minorEastAsia" w:hint="eastAsia"/>
                <w:szCs w:val="21"/>
              </w:rPr>
              <w:t>的销售网点</w:t>
            </w:r>
            <w:r w:rsidRPr="00487553">
              <w:rPr>
                <w:rFonts w:asciiTheme="minorEastAsia" w:eastAsiaTheme="minorEastAsia" w:hAnsiTheme="minorEastAsia" w:hint="eastAsia"/>
                <w:kern w:val="0"/>
                <w:szCs w:val="21"/>
              </w:rPr>
              <w:t>；</w:t>
            </w:r>
          </w:p>
        </w:tc>
      </w:tr>
      <w:tr w:rsidR="00513A34" w:rsidRPr="00487553" w14:paraId="249218B8" w14:textId="77777777">
        <w:tc>
          <w:tcPr>
            <w:tcW w:w="2700" w:type="dxa"/>
          </w:tcPr>
          <w:p w14:paraId="7E749E5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指定媒体：</w:t>
            </w:r>
          </w:p>
        </w:tc>
        <w:tc>
          <w:tcPr>
            <w:tcW w:w="5714" w:type="dxa"/>
          </w:tcPr>
          <w:p w14:paraId="5AEBD688"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指中国证监会指定的用以进行信息披露的报刊和互联网网站或其他媒体；</w:t>
            </w:r>
          </w:p>
        </w:tc>
      </w:tr>
      <w:tr w:rsidR="00513A34" w:rsidRPr="00487553" w14:paraId="63E0E6FE" w14:textId="77777777">
        <w:tc>
          <w:tcPr>
            <w:tcW w:w="2700" w:type="dxa"/>
          </w:tcPr>
          <w:p w14:paraId="13CB013F"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基金账户：</w:t>
            </w:r>
          </w:p>
        </w:tc>
        <w:tc>
          <w:tcPr>
            <w:tcW w:w="5714" w:type="dxa"/>
          </w:tcPr>
          <w:p w14:paraId="6DFB7C6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指注册登记机构为基金投资者开立的记录其持有的由该注册登记机构办理注册登记的基金份额余额及其变动情况的账户；</w:t>
            </w:r>
          </w:p>
        </w:tc>
      </w:tr>
      <w:tr w:rsidR="00513A34" w:rsidRPr="00487553" w14:paraId="785DD044" w14:textId="77777777">
        <w:tc>
          <w:tcPr>
            <w:tcW w:w="2700" w:type="dxa"/>
          </w:tcPr>
          <w:p w14:paraId="460A7B1C"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交易账户：</w:t>
            </w:r>
          </w:p>
        </w:tc>
        <w:tc>
          <w:tcPr>
            <w:tcW w:w="5714" w:type="dxa"/>
          </w:tcPr>
          <w:p w14:paraId="1B21BD0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w:t>
            </w:r>
            <w:r w:rsidRPr="00487553">
              <w:rPr>
                <w:rFonts w:asciiTheme="minorEastAsia" w:eastAsiaTheme="minorEastAsia" w:hAnsiTheme="minorEastAsia"/>
                <w:kern w:val="0"/>
                <w:szCs w:val="21"/>
              </w:rPr>
              <w:t>销售机构为投资者开立的记录投资者通过该销售机构</w:t>
            </w:r>
            <w:r w:rsidRPr="00487553">
              <w:rPr>
                <w:rFonts w:asciiTheme="minorEastAsia" w:eastAsiaTheme="minorEastAsia" w:hAnsiTheme="minorEastAsia" w:hint="eastAsia"/>
                <w:kern w:val="0"/>
                <w:szCs w:val="21"/>
              </w:rPr>
              <w:t>办理认购、申购、赎回、转换及转托管等业务而引起的</w:t>
            </w:r>
            <w:r w:rsidRPr="00487553">
              <w:rPr>
                <w:rFonts w:asciiTheme="minorEastAsia" w:eastAsiaTheme="minorEastAsia" w:hAnsiTheme="minorEastAsia"/>
                <w:kern w:val="0"/>
                <w:szCs w:val="21"/>
              </w:rPr>
              <w:t>基金份额的变动及结余情况的</w:t>
            </w:r>
            <w:r w:rsidRPr="00487553">
              <w:rPr>
                <w:rFonts w:asciiTheme="minorEastAsia" w:eastAsiaTheme="minorEastAsia" w:hAnsiTheme="minorEastAsia" w:hint="eastAsia"/>
                <w:kern w:val="0"/>
                <w:szCs w:val="21"/>
              </w:rPr>
              <w:t>账户；</w:t>
            </w:r>
          </w:p>
        </w:tc>
      </w:tr>
      <w:tr w:rsidR="00513A34" w:rsidRPr="00487553" w14:paraId="35F2E81C" w14:textId="77777777">
        <w:tc>
          <w:tcPr>
            <w:tcW w:w="2700" w:type="dxa"/>
          </w:tcPr>
          <w:p w14:paraId="420BC447"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定期定额投资计划：</w:t>
            </w:r>
          </w:p>
        </w:tc>
        <w:tc>
          <w:tcPr>
            <w:tcW w:w="5714" w:type="dxa"/>
          </w:tcPr>
          <w:p w14:paraId="5875B022"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指投资者通过有关销售机构提出申请，约定每期申购日、申购金额及扣款方式，由该指定的机构于每期约定申购日在投资者指定银行账户内自动完成扣款及受理基金申购申请的一种投资方式；</w:t>
            </w:r>
          </w:p>
        </w:tc>
      </w:tr>
      <w:tr w:rsidR="00513A34" w:rsidRPr="00487553" w14:paraId="6391AE93" w14:textId="77777777">
        <w:tc>
          <w:tcPr>
            <w:tcW w:w="2700" w:type="dxa"/>
          </w:tcPr>
          <w:p w14:paraId="42BF5942" w14:textId="3D15DF5C"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T</w:t>
            </w:r>
            <w:r w:rsidRPr="00487553">
              <w:rPr>
                <w:rFonts w:asciiTheme="minorEastAsia" w:eastAsiaTheme="minorEastAsia" w:hAnsiTheme="minorEastAsia" w:hint="eastAsia"/>
                <w:kern w:val="0"/>
                <w:szCs w:val="21"/>
              </w:rPr>
              <w:t>日：</w:t>
            </w:r>
          </w:p>
        </w:tc>
        <w:tc>
          <w:tcPr>
            <w:tcW w:w="5714" w:type="dxa"/>
          </w:tcPr>
          <w:p w14:paraId="41CFFFB6"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指申购、赎回或办理其他基金业务的申请日</w:t>
            </w:r>
            <w:r w:rsidRPr="00487553">
              <w:rPr>
                <w:rFonts w:asciiTheme="minorEastAsia" w:eastAsiaTheme="minorEastAsia" w:hAnsiTheme="minorEastAsia" w:hint="eastAsia"/>
                <w:kern w:val="0"/>
                <w:szCs w:val="21"/>
              </w:rPr>
              <w:t>；</w:t>
            </w:r>
          </w:p>
        </w:tc>
      </w:tr>
      <w:tr w:rsidR="00513A34" w:rsidRPr="00487553" w14:paraId="532F3B3B" w14:textId="77777777">
        <w:tc>
          <w:tcPr>
            <w:tcW w:w="2700" w:type="dxa"/>
          </w:tcPr>
          <w:p w14:paraId="66E325D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T+n日：</w:t>
            </w:r>
          </w:p>
        </w:tc>
        <w:tc>
          <w:tcPr>
            <w:tcW w:w="5714" w:type="dxa"/>
          </w:tcPr>
          <w:p w14:paraId="332FFDF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指自T日起第n个工作日（不包括T日），</w:t>
            </w:r>
            <w:r w:rsidRPr="00487553">
              <w:rPr>
                <w:rFonts w:asciiTheme="minorEastAsia" w:eastAsiaTheme="minorEastAsia" w:hAnsiTheme="minorEastAsia"/>
                <w:szCs w:val="21"/>
              </w:rPr>
              <w:t>n指自然数</w:t>
            </w:r>
            <w:r w:rsidRPr="00487553">
              <w:rPr>
                <w:rFonts w:asciiTheme="minorEastAsia" w:eastAsiaTheme="minorEastAsia" w:hAnsiTheme="minorEastAsia" w:hint="eastAsia"/>
                <w:szCs w:val="21"/>
              </w:rPr>
              <w:t>；</w:t>
            </w:r>
          </w:p>
        </w:tc>
      </w:tr>
      <w:tr w:rsidR="00513A34" w:rsidRPr="00487553" w14:paraId="12B2F829" w14:textId="77777777">
        <w:tc>
          <w:tcPr>
            <w:tcW w:w="2700" w:type="dxa"/>
          </w:tcPr>
          <w:p w14:paraId="56003759"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基金</w:t>
            </w:r>
            <w:r w:rsidRPr="00487553">
              <w:rPr>
                <w:rFonts w:asciiTheme="minorEastAsia" w:eastAsiaTheme="minorEastAsia" w:hAnsiTheme="minorEastAsia" w:hint="eastAsia"/>
                <w:kern w:val="0"/>
                <w:szCs w:val="21"/>
              </w:rPr>
              <w:t>利润：</w:t>
            </w:r>
          </w:p>
        </w:tc>
        <w:tc>
          <w:tcPr>
            <w:tcW w:w="5714" w:type="dxa"/>
          </w:tcPr>
          <w:p w14:paraId="61584744"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指基金利息收入、投资收益、公允价值变动收益和其他收入扣除相关费用后的余额；</w:t>
            </w:r>
          </w:p>
        </w:tc>
      </w:tr>
      <w:tr w:rsidR="00513A34" w:rsidRPr="00487553" w14:paraId="63C9BD11" w14:textId="77777777">
        <w:tc>
          <w:tcPr>
            <w:tcW w:w="2700" w:type="dxa"/>
          </w:tcPr>
          <w:p w14:paraId="76E70B6B"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基金资产总值：</w:t>
            </w:r>
          </w:p>
        </w:tc>
        <w:tc>
          <w:tcPr>
            <w:tcW w:w="5714" w:type="dxa"/>
          </w:tcPr>
          <w:p w14:paraId="18ADEF80"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指基金所持有的各类有价证券、银行存款本息、</w:t>
            </w:r>
            <w:r w:rsidRPr="00487553">
              <w:rPr>
                <w:rFonts w:asciiTheme="minorEastAsia" w:eastAsiaTheme="minorEastAsia" w:hAnsiTheme="minorEastAsia" w:hint="eastAsia"/>
                <w:szCs w:val="21"/>
              </w:rPr>
              <w:t>基金的应收款项和其他投资</w:t>
            </w:r>
            <w:r w:rsidRPr="00487553">
              <w:rPr>
                <w:rFonts w:asciiTheme="minorEastAsia" w:eastAsiaTheme="minorEastAsia" w:hAnsiTheme="minorEastAsia" w:hint="eastAsia"/>
                <w:kern w:val="0"/>
                <w:szCs w:val="21"/>
              </w:rPr>
              <w:t>所形成的价值总和；</w:t>
            </w:r>
          </w:p>
        </w:tc>
      </w:tr>
      <w:tr w:rsidR="00513A34" w:rsidRPr="00487553" w14:paraId="24C0EA62" w14:textId="77777777">
        <w:tc>
          <w:tcPr>
            <w:tcW w:w="2700" w:type="dxa"/>
          </w:tcPr>
          <w:p w14:paraId="4D671E86"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基金资产净值：</w:t>
            </w:r>
          </w:p>
        </w:tc>
        <w:tc>
          <w:tcPr>
            <w:tcW w:w="5714" w:type="dxa"/>
          </w:tcPr>
          <w:p w14:paraId="080AE35C"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指基金资产总值减去基金负债后的净资产值；</w:t>
            </w:r>
          </w:p>
        </w:tc>
      </w:tr>
      <w:tr w:rsidR="00513A34" w:rsidRPr="00487553" w14:paraId="7833E556" w14:textId="77777777">
        <w:tc>
          <w:tcPr>
            <w:tcW w:w="2700" w:type="dxa"/>
          </w:tcPr>
          <w:p w14:paraId="17EC80A7"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w:t>
            </w:r>
            <w:r w:rsidRPr="00487553">
              <w:rPr>
                <w:rFonts w:asciiTheme="minorEastAsia" w:eastAsiaTheme="minorEastAsia" w:hAnsiTheme="minorEastAsia" w:hint="eastAsia"/>
                <w:szCs w:val="21"/>
              </w:rPr>
              <w:t>份额净值：</w:t>
            </w:r>
          </w:p>
        </w:tc>
        <w:tc>
          <w:tcPr>
            <w:tcW w:w="5714" w:type="dxa"/>
          </w:tcPr>
          <w:p w14:paraId="67105258"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A类人民币基金份额的基金份额净值指以计算日A类基金资产净值除以计算日A类基金份额余额后得出的单位基金份额的价值，计算日A类基金份额余额为计算日A类各币种基金</w:t>
            </w:r>
            <w:r w:rsidRPr="00487553">
              <w:rPr>
                <w:rFonts w:asciiTheme="minorEastAsia" w:eastAsiaTheme="minorEastAsia" w:hAnsiTheme="minorEastAsia"/>
                <w:kern w:val="0"/>
                <w:szCs w:val="21"/>
              </w:rPr>
              <w:lastRenderedPageBreak/>
              <w:t>份额余额的合计数；A类外币基金份额的基金份额净值以A类人民币基金份额的基金份额净值为基础，按照计算日的估值汇率进行折算；C类基金份额的基金份额净值指以计算日C</w:t>
            </w:r>
            <w:r w:rsidRPr="00487553">
              <w:rPr>
                <w:rFonts w:asciiTheme="minorEastAsia" w:eastAsiaTheme="minorEastAsia" w:hAnsiTheme="minorEastAsia" w:hint="eastAsia"/>
                <w:kern w:val="0"/>
                <w:szCs w:val="21"/>
              </w:rPr>
              <w:t>类基金份额的基金资产净值除以计算日</w:t>
            </w:r>
            <w:r w:rsidRPr="00487553">
              <w:rPr>
                <w:rFonts w:asciiTheme="minorEastAsia" w:eastAsiaTheme="minorEastAsia" w:hAnsiTheme="minorEastAsia"/>
                <w:kern w:val="0"/>
                <w:szCs w:val="21"/>
              </w:rPr>
              <w:t>C类基金份额余额后得出的单位基金份额的价值</w:t>
            </w:r>
            <w:r w:rsidRPr="00487553">
              <w:rPr>
                <w:rFonts w:asciiTheme="minorEastAsia" w:eastAsiaTheme="minorEastAsia" w:hAnsiTheme="minorEastAsia" w:hint="eastAsia"/>
                <w:kern w:val="0"/>
                <w:szCs w:val="21"/>
              </w:rPr>
              <w:t>；</w:t>
            </w:r>
          </w:p>
        </w:tc>
      </w:tr>
      <w:tr w:rsidR="00513A34" w:rsidRPr="00487553" w14:paraId="7808662A" w14:textId="77777777">
        <w:tc>
          <w:tcPr>
            <w:tcW w:w="2700" w:type="dxa"/>
          </w:tcPr>
          <w:p w14:paraId="79F21F9B"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基金资产估值：</w:t>
            </w:r>
          </w:p>
        </w:tc>
        <w:tc>
          <w:tcPr>
            <w:tcW w:w="5714" w:type="dxa"/>
          </w:tcPr>
          <w:p w14:paraId="58B377D1"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指计算评估基金资产和负债的价值，以确定基金资产净值和基金份额净值的过程；</w:t>
            </w:r>
          </w:p>
        </w:tc>
      </w:tr>
      <w:tr w:rsidR="00513A34" w:rsidRPr="00487553" w14:paraId="07CF9BA0" w14:textId="77777777">
        <w:tc>
          <w:tcPr>
            <w:tcW w:w="2700" w:type="dxa"/>
          </w:tcPr>
          <w:p w14:paraId="75443FE8"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法律法规：</w:t>
            </w:r>
          </w:p>
        </w:tc>
        <w:tc>
          <w:tcPr>
            <w:tcW w:w="5714" w:type="dxa"/>
          </w:tcPr>
          <w:p w14:paraId="5654A1C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指中华人民共和国现行有效的法律、行政法规、司法解释、地方法规、地方规章、部门规章及其他规范性文件以及对于该等法律法规的不时修改和补充；</w:t>
            </w:r>
          </w:p>
        </w:tc>
      </w:tr>
      <w:tr w:rsidR="00513A34" w:rsidRPr="00487553" w14:paraId="03E04F18" w14:textId="77777777">
        <w:tc>
          <w:tcPr>
            <w:tcW w:w="2700" w:type="dxa"/>
          </w:tcPr>
          <w:p w14:paraId="4292096A"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不可抗力：</w:t>
            </w:r>
          </w:p>
        </w:tc>
        <w:tc>
          <w:tcPr>
            <w:tcW w:w="5714" w:type="dxa"/>
          </w:tcPr>
          <w:p w14:paraId="777FFB80"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指任何不能预见、不能避免、不能克服的客观情况，如地震、海啸、系统故障等事件；</w:t>
            </w:r>
          </w:p>
        </w:tc>
      </w:tr>
      <w:tr w:rsidR="00513A34" w:rsidRPr="00487553" w14:paraId="5AFE9893" w14:textId="77777777" w:rsidTr="00B01706">
        <w:tc>
          <w:tcPr>
            <w:tcW w:w="2700" w:type="dxa"/>
          </w:tcPr>
          <w:p w14:paraId="4F470D48"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货币市场工具：</w:t>
            </w:r>
          </w:p>
        </w:tc>
        <w:tc>
          <w:tcPr>
            <w:tcW w:w="5714" w:type="dxa"/>
          </w:tcPr>
          <w:p w14:paraId="73D55A85"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指银行存款、可转让存单、银行承兑汇票、银行票据、商业票据、回购协议、短期政府债券等中国证监会、中国人民银行认可的具有良好流动性的金融工具；</w:t>
            </w:r>
          </w:p>
        </w:tc>
      </w:tr>
      <w:tr w:rsidR="00513A34" w:rsidRPr="00487553" w14:paraId="24DA7A99" w14:textId="77777777" w:rsidTr="00B01706">
        <w:tc>
          <w:tcPr>
            <w:tcW w:w="2700" w:type="dxa"/>
          </w:tcPr>
          <w:p w14:paraId="74302DC5"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目标ETF、易方达恒生中国企业ETF：</w:t>
            </w:r>
          </w:p>
        </w:tc>
        <w:tc>
          <w:tcPr>
            <w:tcW w:w="5714" w:type="dxa"/>
          </w:tcPr>
          <w:p w14:paraId="7758CDC2" w14:textId="77777777" w:rsidR="00513A34" w:rsidRPr="00487553" w:rsidRDefault="00513A34" w:rsidP="00513A34">
            <w:pPr>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指易方达恒生中国企业交易型开放式指数证券投资基金；</w:t>
            </w:r>
          </w:p>
        </w:tc>
      </w:tr>
      <w:tr w:rsidR="00513A34" w:rsidRPr="00487553" w14:paraId="124AE1D0" w14:textId="77777777" w:rsidTr="00B01706">
        <w:tc>
          <w:tcPr>
            <w:tcW w:w="2700" w:type="dxa"/>
          </w:tcPr>
          <w:p w14:paraId="6C9E0171"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运营备忘录：</w:t>
            </w:r>
          </w:p>
        </w:tc>
        <w:tc>
          <w:tcPr>
            <w:tcW w:w="5714" w:type="dxa"/>
          </w:tcPr>
          <w:p w14:paraId="04AA3F4B"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指由基金管理人、基金托管人、境外托管人就委托财产托管服务内容及流程另行达成的书面约定；</w:t>
            </w:r>
          </w:p>
        </w:tc>
      </w:tr>
      <w:tr w:rsidR="00513A34" w:rsidRPr="00487553" w14:paraId="4091CC55" w14:textId="77777777" w:rsidTr="00B01706">
        <w:tc>
          <w:tcPr>
            <w:tcW w:w="2700" w:type="dxa"/>
          </w:tcPr>
          <w:p w14:paraId="5DC59990"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A</w:t>
            </w:r>
            <w:r w:rsidRPr="00487553">
              <w:rPr>
                <w:rFonts w:asciiTheme="minorEastAsia" w:eastAsiaTheme="minorEastAsia" w:hAnsiTheme="minorEastAsia" w:hint="eastAsia"/>
                <w:kern w:val="0"/>
                <w:szCs w:val="21"/>
              </w:rPr>
              <w:t>类基金份额</w:t>
            </w:r>
            <w:r w:rsidRPr="00487553">
              <w:rPr>
                <w:rFonts w:asciiTheme="minorEastAsia" w:eastAsiaTheme="minorEastAsia" w:hAnsiTheme="minorEastAsia"/>
                <w:kern w:val="0"/>
                <w:szCs w:val="21"/>
              </w:rPr>
              <w:t>:</w:t>
            </w:r>
          </w:p>
        </w:tc>
        <w:tc>
          <w:tcPr>
            <w:tcW w:w="5714" w:type="dxa"/>
          </w:tcPr>
          <w:p w14:paraId="00A12194"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在投资人申购基金时收取申购费用，并不再从本类别基金资产中计提销售服务费的基金份额；</w:t>
            </w:r>
            <w:r w:rsidRPr="00487553">
              <w:rPr>
                <w:rFonts w:asciiTheme="minorEastAsia" w:eastAsiaTheme="minorEastAsia" w:hAnsiTheme="minorEastAsia"/>
                <w:kern w:val="0"/>
                <w:szCs w:val="21"/>
              </w:rPr>
              <w:t>A</w:t>
            </w:r>
            <w:r w:rsidRPr="00487553">
              <w:rPr>
                <w:rFonts w:asciiTheme="minorEastAsia" w:eastAsiaTheme="minorEastAsia" w:hAnsiTheme="minorEastAsia" w:hint="eastAsia"/>
                <w:kern w:val="0"/>
                <w:szCs w:val="21"/>
              </w:rPr>
              <w:t>类基金份额包括</w:t>
            </w:r>
            <w:r w:rsidRPr="00487553">
              <w:rPr>
                <w:rFonts w:asciiTheme="minorEastAsia" w:eastAsiaTheme="minorEastAsia" w:hAnsiTheme="minorEastAsia"/>
                <w:kern w:val="0"/>
                <w:szCs w:val="21"/>
              </w:rPr>
              <w:t>A类人民币基金份额、A类</w:t>
            </w:r>
            <w:r w:rsidRPr="00487553">
              <w:rPr>
                <w:rFonts w:asciiTheme="minorEastAsia" w:eastAsiaTheme="minorEastAsia" w:hAnsiTheme="minorEastAsia" w:hint="eastAsia"/>
                <w:kern w:val="0"/>
                <w:szCs w:val="21"/>
              </w:rPr>
              <w:t>美元现钞基金份额和</w:t>
            </w:r>
            <w:r w:rsidRPr="00487553">
              <w:rPr>
                <w:rFonts w:asciiTheme="minorEastAsia" w:eastAsiaTheme="minorEastAsia" w:hAnsiTheme="minorEastAsia"/>
                <w:kern w:val="0"/>
                <w:szCs w:val="21"/>
              </w:rPr>
              <w:t>A类</w:t>
            </w:r>
            <w:r w:rsidRPr="00487553">
              <w:rPr>
                <w:rFonts w:asciiTheme="minorEastAsia" w:eastAsiaTheme="minorEastAsia" w:hAnsiTheme="minorEastAsia" w:hint="eastAsia"/>
                <w:kern w:val="0"/>
                <w:szCs w:val="21"/>
              </w:rPr>
              <w:t>美元现汇基金份额；</w:t>
            </w:r>
          </w:p>
        </w:tc>
      </w:tr>
      <w:tr w:rsidR="00513A34" w:rsidRPr="00487553" w14:paraId="6A9B6ED7" w14:textId="77777777" w:rsidTr="00B01706">
        <w:tc>
          <w:tcPr>
            <w:tcW w:w="2700" w:type="dxa"/>
          </w:tcPr>
          <w:p w14:paraId="3458C11B"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kern w:val="0"/>
                <w:szCs w:val="21"/>
              </w:rPr>
              <w:t>C</w:t>
            </w:r>
            <w:r w:rsidRPr="00487553">
              <w:rPr>
                <w:rFonts w:asciiTheme="minorEastAsia" w:eastAsiaTheme="minorEastAsia" w:hAnsiTheme="minorEastAsia" w:hint="eastAsia"/>
                <w:kern w:val="0"/>
                <w:szCs w:val="21"/>
              </w:rPr>
              <w:t>类基金份额：</w:t>
            </w:r>
          </w:p>
          <w:p w14:paraId="4BF50126"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p>
          <w:p w14:paraId="1139EE91"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流动性受限资产：</w:t>
            </w:r>
          </w:p>
        </w:tc>
        <w:tc>
          <w:tcPr>
            <w:tcW w:w="5714" w:type="dxa"/>
          </w:tcPr>
          <w:p w14:paraId="7681E965" w14:textId="7777777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从本类基金资产中计提销售服务费，并不收取申购费用的基金份额；</w:t>
            </w:r>
            <w:r w:rsidRPr="00487553">
              <w:rPr>
                <w:rFonts w:asciiTheme="minorEastAsia" w:eastAsiaTheme="minorEastAsia" w:hAnsiTheme="minorEastAsia"/>
                <w:kern w:val="0"/>
                <w:szCs w:val="21"/>
              </w:rPr>
              <w:t>C</w:t>
            </w:r>
            <w:r w:rsidRPr="00487553">
              <w:rPr>
                <w:rFonts w:asciiTheme="minorEastAsia" w:eastAsiaTheme="minorEastAsia" w:hAnsiTheme="minorEastAsia" w:hint="eastAsia"/>
                <w:kern w:val="0"/>
                <w:szCs w:val="21"/>
              </w:rPr>
              <w:t>类基金份额为人民币基金份额。</w:t>
            </w:r>
          </w:p>
          <w:p w14:paraId="70E3B4C9" w14:textId="0B26A597" w:rsidR="00513A34" w:rsidRPr="00487553" w:rsidRDefault="00513A34" w:rsidP="00513A34">
            <w:pPr>
              <w:tabs>
                <w:tab w:val="left" w:pos="1680"/>
              </w:tabs>
              <w:snapToGrid w:val="0"/>
              <w:spacing w:line="360" w:lineRule="auto"/>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bl>
    <w:p w14:paraId="67F816A1" w14:textId="77777777" w:rsidR="0064594E" w:rsidRPr="00487553" w:rsidRDefault="0064594E" w:rsidP="00D94E68">
      <w:pPr>
        <w:snapToGrid w:val="0"/>
        <w:spacing w:line="360" w:lineRule="auto"/>
        <w:ind w:firstLine="480"/>
        <w:jc w:val="left"/>
        <w:rPr>
          <w:rFonts w:asciiTheme="minorEastAsia" w:eastAsiaTheme="minorEastAsia" w:hAnsiTheme="minorEastAsia"/>
          <w:b/>
        </w:rPr>
        <w:sectPr w:rsidR="0064594E" w:rsidRPr="00487553" w:rsidSect="00294707">
          <w:pgSz w:w="11906" w:h="16838" w:code="9"/>
          <w:pgMar w:top="1440" w:right="1797" w:bottom="1440" w:left="1797" w:header="851" w:footer="992" w:gutter="0"/>
          <w:pgNumType w:start="1"/>
          <w:cols w:space="425"/>
          <w:docGrid w:type="linesAndChars" w:linePitch="312"/>
        </w:sectPr>
      </w:pPr>
    </w:p>
    <w:p w14:paraId="3389073D" w14:textId="77777777" w:rsidR="0064594E" w:rsidRPr="00487553" w:rsidRDefault="0064594E" w:rsidP="001016DC">
      <w:pPr>
        <w:pStyle w:val="11"/>
        <w:numPr>
          <w:ilvl w:val="0"/>
          <w:numId w:val="14"/>
        </w:numPr>
        <w:snapToGrid w:val="0"/>
        <w:spacing w:beforeLines="0" w:afterLines="0" w:line="360" w:lineRule="auto"/>
        <w:ind w:firstLineChars="0"/>
        <w:rPr>
          <w:rFonts w:asciiTheme="minorEastAsia" w:eastAsiaTheme="minorEastAsia" w:hAnsiTheme="minorEastAsia"/>
        </w:rPr>
      </w:pPr>
      <w:bookmarkStart w:id="5" w:name="_Toc20148404"/>
      <w:r w:rsidRPr="00487553">
        <w:rPr>
          <w:rFonts w:asciiTheme="minorEastAsia" w:eastAsiaTheme="minorEastAsia" w:hAnsiTheme="minorEastAsia"/>
        </w:rPr>
        <w:lastRenderedPageBreak/>
        <w:t>风险揭示</w:t>
      </w:r>
      <w:bookmarkEnd w:id="5"/>
    </w:p>
    <w:p w14:paraId="2AE78674" w14:textId="0B68C2B2" w:rsidR="0064594E" w:rsidRPr="00487553" w:rsidRDefault="00A63790" w:rsidP="00D94E68">
      <w:pPr>
        <w:autoSpaceDE w:val="0"/>
        <w:autoSpaceDN w:val="0"/>
        <w:snapToGrid w:val="0"/>
        <w:spacing w:line="360" w:lineRule="auto"/>
        <w:ind w:firstLineChars="200" w:firstLine="420"/>
        <w:rPr>
          <w:rFonts w:asciiTheme="minorEastAsia" w:eastAsiaTheme="minorEastAsia" w:hAnsiTheme="minorEastAsia"/>
          <w:szCs w:val="21"/>
        </w:rPr>
      </w:pPr>
      <w:bookmarkStart w:id="6" w:name="_Toc296440057"/>
      <w:bookmarkStart w:id="7" w:name="_Toc296526871"/>
      <w:bookmarkStart w:id="8" w:name="_Toc306614138"/>
      <w:r w:rsidRPr="00487553">
        <w:rPr>
          <w:rFonts w:asciiTheme="minorEastAsia" w:eastAsiaTheme="minorEastAsia" w:hAnsiTheme="minorEastAsia"/>
          <w:szCs w:val="21"/>
        </w:rPr>
        <w:t>本基金的投资运作中可能出现的风险包括</w:t>
      </w:r>
      <w:r w:rsidR="00AC5A00" w:rsidRPr="00487553">
        <w:rPr>
          <w:rFonts w:asciiTheme="minorEastAsia" w:eastAsiaTheme="minorEastAsia" w:hAnsiTheme="minorEastAsia" w:hint="eastAsia"/>
          <w:szCs w:val="21"/>
        </w:rPr>
        <w:t>本</w:t>
      </w:r>
      <w:r w:rsidR="006108DF" w:rsidRPr="00487553">
        <w:rPr>
          <w:rFonts w:asciiTheme="minorEastAsia" w:eastAsiaTheme="minorEastAsia" w:hAnsiTheme="minorEastAsia"/>
          <w:szCs w:val="21"/>
        </w:rPr>
        <w:t>基金特有</w:t>
      </w:r>
      <w:r w:rsidR="00AC5A00" w:rsidRPr="00487553">
        <w:rPr>
          <w:rFonts w:asciiTheme="minorEastAsia" w:eastAsiaTheme="minorEastAsia" w:hAnsiTheme="minorEastAsia" w:hint="eastAsia"/>
          <w:szCs w:val="21"/>
        </w:rPr>
        <w:t>的</w:t>
      </w:r>
      <w:r w:rsidR="006108DF" w:rsidRPr="00487553">
        <w:rPr>
          <w:rFonts w:asciiTheme="minorEastAsia" w:eastAsiaTheme="minorEastAsia" w:hAnsiTheme="minorEastAsia"/>
          <w:szCs w:val="21"/>
        </w:rPr>
        <w:t>风险、</w:t>
      </w:r>
      <w:r w:rsidRPr="00487553">
        <w:rPr>
          <w:rFonts w:asciiTheme="minorEastAsia" w:eastAsiaTheme="minorEastAsia" w:hAnsiTheme="minorEastAsia"/>
          <w:szCs w:val="21"/>
        </w:rPr>
        <w:t>投资风险、</w:t>
      </w:r>
      <w:r w:rsidR="00992741" w:rsidRPr="00487553">
        <w:rPr>
          <w:rFonts w:asciiTheme="minorEastAsia" w:eastAsiaTheme="minorEastAsia" w:hAnsiTheme="minorEastAsia" w:hint="eastAsia"/>
          <w:szCs w:val="21"/>
        </w:rPr>
        <w:t>流动性</w:t>
      </w:r>
      <w:r w:rsidR="00513A34" w:rsidRPr="00487553">
        <w:rPr>
          <w:rFonts w:asciiTheme="minorEastAsia" w:eastAsiaTheme="minorEastAsia" w:hAnsiTheme="minorEastAsia" w:hint="eastAsia"/>
          <w:szCs w:val="21"/>
        </w:rPr>
        <w:t>风险</w:t>
      </w:r>
      <w:r w:rsidR="0052749F"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运作风险及</w:t>
      </w:r>
      <w:r w:rsidR="00AC5A00" w:rsidRPr="00487553">
        <w:rPr>
          <w:rFonts w:asciiTheme="minorEastAsia" w:eastAsiaTheme="minorEastAsia" w:hAnsiTheme="minorEastAsia" w:hint="eastAsia"/>
          <w:szCs w:val="21"/>
        </w:rPr>
        <w:t>不可抗力风险</w:t>
      </w:r>
      <w:r w:rsidR="00F017E0" w:rsidRPr="00487553">
        <w:rPr>
          <w:rFonts w:asciiTheme="minorEastAsia" w:eastAsiaTheme="minorEastAsia" w:hAnsiTheme="minorEastAsia" w:hint="eastAsia"/>
          <w:szCs w:val="21"/>
        </w:rPr>
        <w:t>等</w:t>
      </w:r>
      <w:r w:rsidR="00BB30C5"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其中</w:t>
      </w:r>
      <w:r w:rsidR="00441504" w:rsidRPr="00487553">
        <w:rPr>
          <w:rFonts w:asciiTheme="minorEastAsia" w:eastAsiaTheme="minorEastAsia" w:hAnsiTheme="minorEastAsia" w:hint="eastAsia"/>
          <w:szCs w:val="21"/>
        </w:rPr>
        <w:t>，</w:t>
      </w:r>
      <w:r w:rsidR="00AC5A00" w:rsidRPr="00487553">
        <w:rPr>
          <w:rFonts w:asciiTheme="minorEastAsia" w:eastAsiaTheme="minorEastAsia" w:hAnsiTheme="minorEastAsia" w:hint="eastAsia"/>
          <w:szCs w:val="21"/>
        </w:rPr>
        <w:t>本</w:t>
      </w:r>
      <w:r w:rsidR="00FA3D95" w:rsidRPr="00487553">
        <w:rPr>
          <w:rFonts w:asciiTheme="minorEastAsia" w:eastAsiaTheme="minorEastAsia" w:hAnsiTheme="minorEastAsia"/>
          <w:szCs w:val="21"/>
        </w:rPr>
        <w:t>基金特</w:t>
      </w:r>
      <w:r w:rsidR="00BB30C5" w:rsidRPr="00487553">
        <w:rPr>
          <w:rFonts w:asciiTheme="minorEastAsia" w:eastAsiaTheme="minorEastAsia" w:hAnsiTheme="minorEastAsia" w:hint="eastAsia"/>
          <w:szCs w:val="21"/>
        </w:rPr>
        <w:t>有的风险包括</w:t>
      </w:r>
      <w:r w:rsidR="009D65AB" w:rsidRPr="00487553">
        <w:rPr>
          <w:rFonts w:asciiTheme="minorEastAsia" w:eastAsiaTheme="minorEastAsia" w:hAnsiTheme="minorEastAsia" w:hint="eastAsia"/>
        </w:rPr>
        <w:t>指数波动的风险</w:t>
      </w:r>
      <w:r w:rsidR="00FA3D95" w:rsidRPr="00487553">
        <w:rPr>
          <w:rFonts w:asciiTheme="minorEastAsia" w:eastAsiaTheme="minorEastAsia" w:hAnsiTheme="minorEastAsia"/>
          <w:szCs w:val="21"/>
        </w:rPr>
        <w:t>、</w:t>
      </w:r>
      <w:r w:rsidR="009D65AB" w:rsidRPr="00487553">
        <w:rPr>
          <w:rFonts w:asciiTheme="minorEastAsia" w:eastAsiaTheme="minorEastAsia" w:hAnsiTheme="minorEastAsia" w:hint="eastAsia"/>
        </w:rPr>
        <w:t>指数编制机构发布数据错误的风险</w:t>
      </w:r>
      <w:r w:rsidR="009D65AB" w:rsidRPr="00487553">
        <w:rPr>
          <w:rFonts w:asciiTheme="minorEastAsia" w:eastAsiaTheme="minorEastAsia" w:hAnsiTheme="minorEastAsia" w:hint="eastAsia"/>
          <w:szCs w:val="21"/>
        </w:rPr>
        <w:t>、</w:t>
      </w:r>
      <w:r w:rsidR="009D65AB" w:rsidRPr="00487553">
        <w:rPr>
          <w:rFonts w:asciiTheme="minorEastAsia" w:eastAsiaTheme="minorEastAsia" w:hAnsiTheme="minorEastAsia" w:hint="eastAsia"/>
        </w:rPr>
        <w:t>基金收益率与业绩比较基准收益率偏离的风险</w:t>
      </w:r>
      <w:r w:rsidR="00FA3D95" w:rsidRPr="00487553">
        <w:rPr>
          <w:rFonts w:asciiTheme="minorEastAsia" w:eastAsiaTheme="minorEastAsia" w:hAnsiTheme="minorEastAsia"/>
          <w:szCs w:val="21"/>
        </w:rPr>
        <w:t>等；</w:t>
      </w:r>
      <w:r w:rsidRPr="00487553">
        <w:rPr>
          <w:rFonts w:asciiTheme="minorEastAsia" w:eastAsiaTheme="minorEastAsia" w:hAnsiTheme="minorEastAsia"/>
          <w:szCs w:val="21"/>
        </w:rPr>
        <w:t>投资风险主要包括</w:t>
      </w:r>
      <w:r w:rsidR="00CF5FC4" w:rsidRPr="00487553">
        <w:rPr>
          <w:rFonts w:asciiTheme="minorEastAsia" w:eastAsiaTheme="minorEastAsia" w:hAnsiTheme="minorEastAsia" w:cs="Arial" w:hint="eastAsia"/>
          <w:szCs w:val="21"/>
        </w:rPr>
        <w:t>市场风险</w:t>
      </w:r>
      <w:r w:rsidRPr="00487553">
        <w:rPr>
          <w:rFonts w:asciiTheme="minorEastAsia" w:eastAsiaTheme="minorEastAsia" w:hAnsiTheme="minorEastAsia"/>
          <w:szCs w:val="21"/>
        </w:rPr>
        <w:t>、政府管制风险、监管风险、政治风险、汇率风险、利率风险、衍生品风险、金融模型风险、信用风险等；</w:t>
      </w:r>
      <w:r w:rsidR="00513A34" w:rsidRPr="00487553">
        <w:rPr>
          <w:rFonts w:asciiTheme="minorEastAsia" w:eastAsiaTheme="minorEastAsia" w:hAnsiTheme="minorEastAsia"/>
          <w:szCs w:val="21"/>
        </w:rPr>
        <w:t>流动性风险主要包括投资标的的流动性风险以及基金管理人综合运用各类流动性风险管理工具可能对投资者带来的风险；</w:t>
      </w:r>
      <w:r w:rsidRPr="00487553">
        <w:rPr>
          <w:rFonts w:asciiTheme="minorEastAsia" w:eastAsiaTheme="minorEastAsia" w:hAnsiTheme="minorEastAsia"/>
          <w:szCs w:val="21"/>
        </w:rPr>
        <w:t>运作风险主要包括操作风险、会计核算风险、税务风险、交易结算风险、法律风险、证券借贷/正回购/逆回购风险等</w:t>
      </w:r>
      <w:r w:rsidR="0064594E" w:rsidRPr="00487553">
        <w:rPr>
          <w:rFonts w:asciiTheme="minorEastAsia" w:eastAsiaTheme="minorEastAsia" w:hAnsiTheme="minorEastAsia"/>
          <w:szCs w:val="21"/>
        </w:rPr>
        <w:t>。</w:t>
      </w:r>
      <w:bookmarkEnd w:id="6"/>
      <w:bookmarkEnd w:id="7"/>
      <w:bookmarkEnd w:id="8"/>
    </w:p>
    <w:p w14:paraId="0F1DDB12" w14:textId="77777777" w:rsidR="00D94E68" w:rsidRPr="00487553" w:rsidRDefault="009A2AD8" w:rsidP="001016DC">
      <w:pPr>
        <w:pStyle w:val="2"/>
        <w:numPr>
          <w:ilvl w:val="1"/>
          <w:numId w:val="14"/>
        </w:numPr>
        <w:tabs>
          <w:tab w:val="num" w:pos="426"/>
        </w:tabs>
        <w:snapToGrid w:val="0"/>
        <w:spacing w:beforeLines="0" w:afterLines="0" w:line="360" w:lineRule="auto"/>
        <w:ind w:left="0" w:firstLineChars="0" w:firstLine="0"/>
        <w:rPr>
          <w:rFonts w:asciiTheme="minorEastAsia" w:eastAsiaTheme="minorEastAsia" w:hAnsiTheme="minorEastAsia"/>
        </w:rPr>
      </w:pPr>
      <w:bookmarkStart w:id="9" w:name="_Toc296440058"/>
      <w:bookmarkStart w:id="10" w:name="_Toc296526872"/>
      <w:bookmarkStart w:id="11" w:name="_Toc306614139"/>
      <w:bookmarkStart w:id="12" w:name="_Toc20148405"/>
      <w:r w:rsidRPr="00487553">
        <w:rPr>
          <w:rFonts w:asciiTheme="minorEastAsia" w:eastAsiaTheme="minorEastAsia" w:hAnsiTheme="minorEastAsia"/>
        </w:rPr>
        <w:t>本基金特有风险</w:t>
      </w:r>
      <w:bookmarkEnd w:id="9"/>
      <w:bookmarkEnd w:id="10"/>
      <w:bookmarkEnd w:id="11"/>
      <w:bookmarkEnd w:id="12"/>
    </w:p>
    <w:p w14:paraId="076A0D98" w14:textId="77777777" w:rsidR="00F81D17" w:rsidRPr="00487553" w:rsidRDefault="00F81D1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1、指数波动的风险</w:t>
      </w:r>
    </w:p>
    <w:p w14:paraId="0A9841B6" w14:textId="77777777" w:rsidR="00F81D17" w:rsidRPr="00487553" w:rsidRDefault="00F81D1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恒生中国企业指数成份股的价格可能受到政治因素、经济因素、上市公司经营状况、投资者心理和交易制度等各种因素的影响而波动,导致指数波动。由于本基金主要投资于</w:t>
      </w:r>
      <w:r w:rsidR="00E838E3" w:rsidRPr="00487553">
        <w:rPr>
          <w:rFonts w:asciiTheme="minorEastAsia" w:eastAsiaTheme="minorEastAsia" w:hAnsiTheme="minorEastAsia" w:hint="eastAsia"/>
        </w:rPr>
        <w:t>易方达</w:t>
      </w:r>
      <w:r w:rsidRPr="00487553">
        <w:rPr>
          <w:rFonts w:asciiTheme="minorEastAsia" w:eastAsiaTheme="minorEastAsia" w:hAnsiTheme="minorEastAsia" w:hint="eastAsia"/>
        </w:rPr>
        <w:t>恒生中国企业ETF，基金收益水平会发生变化，产生风险。</w:t>
      </w:r>
    </w:p>
    <w:p w14:paraId="0E1D8D28" w14:textId="77777777" w:rsidR="00F81D17" w:rsidRPr="00487553" w:rsidRDefault="005136E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w:t>
      </w:r>
      <w:r w:rsidR="00F81D17" w:rsidRPr="00487553">
        <w:rPr>
          <w:rFonts w:asciiTheme="minorEastAsia" w:eastAsiaTheme="minorEastAsia" w:hAnsiTheme="minorEastAsia" w:hint="eastAsia"/>
        </w:rPr>
        <w:t>、指数编制机构发布数据错误的风险</w:t>
      </w:r>
    </w:p>
    <w:p w14:paraId="1EBCE730" w14:textId="77777777" w:rsidR="00FD049F" w:rsidRPr="00487553" w:rsidRDefault="00F81D17" w:rsidP="00D94E68">
      <w:pPr>
        <w:snapToGrid w:val="0"/>
        <w:spacing w:line="360" w:lineRule="auto"/>
        <w:ind w:firstLineChars="200" w:firstLine="420"/>
        <w:rPr>
          <w:rFonts w:asciiTheme="minorEastAsia" w:eastAsiaTheme="minorEastAsia" w:hAnsiTheme="minorEastAsia"/>
        </w:rPr>
      </w:pPr>
      <w:bookmarkStart w:id="13" w:name="_Toc309285921"/>
      <w:r w:rsidRPr="00487553">
        <w:rPr>
          <w:rFonts w:asciiTheme="minorEastAsia" w:eastAsiaTheme="minorEastAsia" w:hAnsiTheme="minorEastAsia" w:hint="eastAsia"/>
        </w:rPr>
        <w:t>如果指数编制机构发布的成份股数据出现错误，</w:t>
      </w:r>
      <w:r w:rsidR="00E838E3" w:rsidRPr="00487553">
        <w:rPr>
          <w:rFonts w:asciiTheme="minorEastAsia" w:eastAsiaTheme="minorEastAsia" w:hAnsiTheme="minorEastAsia" w:hint="eastAsia"/>
        </w:rPr>
        <w:t>易方达</w:t>
      </w:r>
      <w:r w:rsidR="005136E1" w:rsidRPr="00487553">
        <w:rPr>
          <w:rFonts w:asciiTheme="minorEastAsia" w:eastAsiaTheme="minorEastAsia" w:hAnsiTheme="minorEastAsia" w:hint="eastAsia"/>
        </w:rPr>
        <w:t>恒生中国企业</w:t>
      </w:r>
      <w:r w:rsidRPr="00487553">
        <w:rPr>
          <w:rFonts w:asciiTheme="minorEastAsia" w:eastAsiaTheme="minorEastAsia" w:hAnsiTheme="minorEastAsia" w:hint="eastAsia"/>
        </w:rPr>
        <w:t>ETF的资产净值可能受到不利影响。由于本基金主要投资于</w:t>
      </w:r>
      <w:r w:rsidR="00E838E3" w:rsidRPr="00487553">
        <w:rPr>
          <w:rFonts w:asciiTheme="minorEastAsia" w:eastAsiaTheme="minorEastAsia" w:hAnsiTheme="minorEastAsia" w:hint="eastAsia"/>
        </w:rPr>
        <w:t>易方达</w:t>
      </w:r>
      <w:r w:rsidR="005136E1" w:rsidRPr="00487553">
        <w:rPr>
          <w:rFonts w:asciiTheme="minorEastAsia" w:eastAsiaTheme="minorEastAsia" w:hAnsiTheme="minorEastAsia" w:hint="eastAsia"/>
        </w:rPr>
        <w:t>恒生中国企业</w:t>
      </w:r>
      <w:r w:rsidRPr="00487553">
        <w:rPr>
          <w:rFonts w:asciiTheme="minorEastAsia" w:eastAsiaTheme="minorEastAsia" w:hAnsiTheme="minorEastAsia" w:hint="eastAsia"/>
        </w:rPr>
        <w:t>ETF，本基金资产净值也将受到不利影响。</w:t>
      </w:r>
      <w:bookmarkEnd w:id="13"/>
    </w:p>
    <w:p w14:paraId="4FFDE3FE" w14:textId="77777777" w:rsidR="001E175D" w:rsidRPr="00487553" w:rsidRDefault="001E175D" w:rsidP="00D94E68">
      <w:pPr>
        <w:snapToGrid w:val="0"/>
        <w:spacing w:line="360" w:lineRule="auto"/>
        <w:ind w:firstLineChars="200" w:firstLine="420"/>
        <w:rPr>
          <w:rFonts w:asciiTheme="minorEastAsia" w:eastAsiaTheme="minorEastAsia" w:hAnsiTheme="minorEastAsia"/>
          <w:szCs w:val="21"/>
        </w:rPr>
      </w:pPr>
      <w:bookmarkStart w:id="14" w:name="_Toc309285922"/>
      <w:r w:rsidRPr="00487553">
        <w:rPr>
          <w:rFonts w:asciiTheme="minorEastAsia" w:eastAsiaTheme="minorEastAsia" w:hAnsiTheme="minorEastAsia" w:hint="eastAsia"/>
        </w:rPr>
        <w:t>以下为本基金标的指数-恒生中国企业指数的编制商发布的免责声明：</w:t>
      </w:r>
      <w:bookmarkEnd w:id="14"/>
    </w:p>
    <w:p w14:paraId="5A207305" w14:textId="64AB4B2C" w:rsidR="0072264F" w:rsidRPr="00487553" w:rsidRDefault="0072264F" w:rsidP="00D94E68">
      <w:pPr>
        <w:widowControl/>
        <w:snapToGrid w:val="0"/>
        <w:spacing w:line="360" w:lineRule="auto"/>
        <w:ind w:firstLineChars="200" w:firstLine="420"/>
        <w:jc w:val="left"/>
        <w:rPr>
          <w:rFonts w:asciiTheme="minorEastAsia" w:eastAsiaTheme="minorEastAsia" w:hAnsiTheme="minorEastAsia"/>
          <w:szCs w:val="21"/>
        </w:rPr>
      </w:pPr>
      <w:bookmarkStart w:id="15" w:name="_Toc308079778"/>
      <w:bookmarkStart w:id="16" w:name="_Toc308190020"/>
      <w:bookmarkStart w:id="17" w:name="_Toc309285923"/>
      <w:bookmarkStart w:id="18" w:name="_Toc309285750"/>
      <w:r w:rsidRPr="00487553">
        <w:rPr>
          <w:rFonts w:asciiTheme="minorEastAsia" w:eastAsiaTheme="minorEastAsia" w:hAnsiTheme="minorEastAsia" w:hint="eastAsia"/>
          <w:szCs w:val="21"/>
        </w:rPr>
        <w:t>“恒生中国企业指数由恒生指数有限公司根据恒生资讯服务有限公司的授权发布及编制。恒生中国企业指数的商标及名称由恒生资讯服务有限公司全权拥有。恒生指数有限公司及恒生资讯服务有限公司已同意〔被许可方〕可就〔产品名称〕</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该产品</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使用及参考该指数，但是，</w:t>
      </w:r>
      <w:r w:rsidRPr="00487553">
        <w:rPr>
          <w:rFonts w:asciiTheme="minorEastAsia" w:eastAsiaTheme="minorEastAsia" w:hAnsiTheme="minorEastAsia" w:hint="eastAsia"/>
          <w:b/>
          <w:szCs w:val="21"/>
        </w:rPr>
        <w:t>恒生指数有限公司及恒生资讯服务有限公司并不就</w:t>
      </w:r>
      <w:r w:rsidRPr="00487553">
        <w:rPr>
          <w:rFonts w:asciiTheme="minorEastAsia" w:eastAsiaTheme="minorEastAsia" w:hAnsiTheme="minorEastAsia"/>
          <w:b/>
          <w:szCs w:val="21"/>
        </w:rPr>
        <w:t>(i)</w:t>
      </w:r>
      <w:r w:rsidRPr="00487553">
        <w:rPr>
          <w:rFonts w:asciiTheme="minorEastAsia" w:eastAsiaTheme="minorEastAsia" w:hAnsiTheme="minorEastAsia" w:hint="eastAsia"/>
          <w:b/>
          <w:szCs w:val="21"/>
        </w:rPr>
        <w:t>该指数及其计算或任何与之有关的数据的准确性或完整性；或</w:t>
      </w:r>
      <w:r w:rsidRPr="00487553">
        <w:rPr>
          <w:rFonts w:asciiTheme="minorEastAsia" w:eastAsiaTheme="minorEastAsia" w:hAnsiTheme="minorEastAsia"/>
          <w:b/>
          <w:szCs w:val="21"/>
        </w:rPr>
        <w:t>(ii)</w:t>
      </w:r>
      <w:r w:rsidRPr="00487553">
        <w:rPr>
          <w:rFonts w:asciiTheme="minorEastAsia" w:eastAsiaTheme="minorEastAsia" w:hAnsiTheme="minorEastAsia" w:hint="eastAsia"/>
          <w:b/>
          <w:szCs w:val="21"/>
        </w:rPr>
        <w:t>该指数或其中任何成份或其所包涵的数据的适用性或适合性；或</w:t>
      </w:r>
      <w:r w:rsidRPr="00487553">
        <w:rPr>
          <w:rFonts w:asciiTheme="minorEastAsia" w:eastAsiaTheme="minorEastAsia" w:hAnsiTheme="minorEastAsia"/>
          <w:b/>
          <w:szCs w:val="21"/>
        </w:rPr>
        <w:t>(iii)</w:t>
      </w:r>
      <w:r w:rsidRPr="00487553">
        <w:rPr>
          <w:rFonts w:asciiTheme="minorEastAsia" w:eastAsiaTheme="minorEastAsia" w:hAnsiTheme="minorEastAsia" w:hint="eastAsia"/>
          <w:b/>
          <w:szCs w:val="21"/>
        </w:rPr>
        <w:t>任何人士因使用该指数或其中任何成份或其所包涵的数据而产生的结果，而向该产品的任何经纪或该产品持有人或任何其它人士作出保证或声明或担保，也不会就该指数提供或默示任何保证、声明或担保。</w:t>
      </w:r>
      <w:r w:rsidRPr="00487553">
        <w:rPr>
          <w:rFonts w:asciiTheme="minorEastAsia" w:eastAsiaTheme="minorEastAsia" w:hAnsiTheme="minorEastAsia" w:hint="eastAsia"/>
          <w:szCs w:val="21"/>
        </w:rPr>
        <w:t>恒生指数有限公司可随时更改或修改计算及编制该指数及其任何有关的公式、成份股份及系数的过程及基准，而无须作出通知。</w:t>
      </w:r>
      <w:r w:rsidRPr="00487553">
        <w:rPr>
          <w:rFonts w:asciiTheme="minorEastAsia" w:eastAsiaTheme="minorEastAsia" w:hAnsiTheme="minorEastAsia" w:hint="eastAsia"/>
          <w:b/>
          <w:szCs w:val="21"/>
        </w:rPr>
        <w:t>在适用法律允许的范围内，恒生指数有限公司或恒生资讯服务有限公司不会因</w:t>
      </w:r>
      <w:r w:rsidRPr="00487553">
        <w:rPr>
          <w:rFonts w:asciiTheme="minorEastAsia" w:eastAsiaTheme="minorEastAsia" w:hAnsiTheme="minorEastAsia"/>
          <w:b/>
          <w:szCs w:val="21"/>
        </w:rPr>
        <w:t>(i)</w:t>
      </w:r>
      <w:r w:rsidRPr="00487553">
        <w:rPr>
          <w:rFonts w:asciiTheme="minorEastAsia" w:eastAsiaTheme="minorEastAsia" w:hAnsiTheme="minorEastAsia" w:hint="eastAsia"/>
          <w:b/>
          <w:szCs w:val="21"/>
        </w:rPr>
        <w:t>〔被许何人〕就该产品使用及</w:t>
      </w:r>
      <w:r w:rsidRPr="00487553">
        <w:rPr>
          <w:rFonts w:asciiTheme="minorEastAsia" w:eastAsiaTheme="minorEastAsia" w:hAnsiTheme="minorEastAsia"/>
          <w:b/>
          <w:szCs w:val="21"/>
        </w:rPr>
        <w:t>/</w:t>
      </w:r>
      <w:r w:rsidRPr="00487553">
        <w:rPr>
          <w:rFonts w:asciiTheme="minorEastAsia" w:eastAsiaTheme="minorEastAsia" w:hAnsiTheme="minorEastAsia" w:hint="eastAsia"/>
          <w:b/>
          <w:szCs w:val="21"/>
        </w:rPr>
        <w:t>或参考该指数；或</w:t>
      </w:r>
      <w:r w:rsidRPr="00487553">
        <w:rPr>
          <w:rFonts w:asciiTheme="minorEastAsia" w:eastAsiaTheme="minorEastAsia" w:hAnsiTheme="minorEastAsia"/>
          <w:b/>
          <w:szCs w:val="21"/>
        </w:rPr>
        <w:t>(ii)</w:t>
      </w:r>
      <w:r w:rsidRPr="00487553">
        <w:rPr>
          <w:rFonts w:asciiTheme="minorEastAsia" w:eastAsiaTheme="minorEastAsia" w:hAnsiTheme="minorEastAsia" w:hint="eastAsia"/>
          <w:b/>
          <w:szCs w:val="21"/>
        </w:rPr>
        <w:t>恒生指数有限公司在计算该指数时的任何失准、遗漏、失误或错误；或</w:t>
      </w:r>
      <w:r w:rsidRPr="00487553">
        <w:rPr>
          <w:rFonts w:asciiTheme="minorEastAsia" w:eastAsiaTheme="minorEastAsia" w:hAnsiTheme="minorEastAsia"/>
          <w:b/>
          <w:szCs w:val="21"/>
        </w:rPr>
        <w:t>(iii)</w:t>
      </w:r>
      <w:r w:rsidRPr="00487553">
        <w:rPr>
          <w:rFonts w:asciiTheme="minorEastAsia" w:eastAsiaTheme="minorEastAsia" w:hAnsiTheme="minorEastAsia" w:hint="eastAsia"/>
          <w:b/>
          <w:szCs w:val="21"/>
        </w:rPr>
        <w:t>与计算该指数有关并由任何其它人士提供的资料的任何失准、遗漏、失误﹑错误或不完整；或</w:t>
      </w:r>
      <w:r w:rsidRPr="00487553">
        <w:rPr>
          <w:rFonts w:asciiTheme="minorEastAsia" w:eastAsiaTheme="minorEastAsia" w:hAnsiTheme="minorEastAsia"/>
          <w:b/>
          <w:szCs w:val="21"/>
        </w:rPr>
        <w:t>(iv)</w:t>
      </w:r>
      <w:r w:rsidRPr="00487553">
        <w:rPr>
          <w:rFonts w:asciiTheme="minorEastAsia" w:eastAsiaTheme="minorEastAsia" w:hAnsiTheme="minorEastAsia" w:hint="eastAsia"/>
          <w:b/>
          <w:szCs w:val="21"/>
        </w:rPr>
        <w:t>任何经纪、该产品持有人或任何其它交易该产品的人士，因上述原因而直接或间接蒙受的任何经济或其它损失承担任何责任或债务</w:t>
      </w:r>
      <w:r w:rsidRPr="00487553">
        <w:rPr>
          <w:rFonts w:asciiTheme="minorEastAsia" w:eastAsiaTheme="minorEastAsia" w:hAnsiTheme="minorEastAsia"/>
          <w:b/>
          <w:szCs w:val="21"/>
        </w:rPr>
        <w:t>,</w:t>
      </w:r>
      <w:r w:rsidRPr="00487553">
        <w:rPr>
          <w:rFonts w:asciiTheme="minorEastAsia" w:eastAsiaTheme="minorEastAsia" w:hAnsiTheme="minorEastAsia" w:hint="eastAsia"/>
          <w:b/>
          <w:szCs w:val="21"/>
        </w:rPr>
        <w:t>任何经纪、该产品持有人或任何其它交易该产品的人士不得因该产品，以任何形式</w:t>
      </w:r>
      <w:r w:rsidRPr="00487553">
        <w:rPr>
          <w:rFonts w:asciiTheme="minorEastAsia" w:eastAsiaTheme="minorEastAsia" w:hAnsiTheme="minorEastAsia" w:hint="eastAsia"/>
          <w:b/>
          <w:szCs w:val="21"/>
        </w:rPr>
        <w:lastRenderedPageBreak/>
        <w:t>向恒生指数有限公司及</w:t>
      </w:r>
      <w:r w:rsidRPr="00487553">
        <w:rPr>
          <w:rFonts w:asciiTheme="minorEastAsia" w:eastAsiaTheme="minorEastAsia" w:hAnsiTheme="minorEastAsia"/>
          <w:b/>
          <w:szCs w:val="21"/>
        </w:rPr>
        <w:t>/</w:t>
      </w:r>
      <w:r w:rsidRPr="00487553">
        <w:rPr>
          <w:rFonts w:asciiTheme="minorEastAsia" w:eastAsiaTheme="minorEastAsia" w:hAnsiTheme="minorEastAsia" w:hint="eastAsia"/>
          <w:b/>
          <w:szCs w:val="21"/>
        </w:rPr>
        <w:t>或恒生资讯服务有限公司进行索偿、法律行动或法律诉讼。</w:t>
      </w:r>
      <w:r w:rsidRPr="00487553">
        <w:rPr>
          <w:rFonts w:asciiTheme="minorEastAsia" w:eastAsiaTheme="minorEastAsia" w:hAnsiTheme="minorEastAsia" w:hint="eastAsia"/>
          <w:szCs w:val="21"/>
        </w:rPr>
        <w:t>任何经纪、持有人或任何其它人士，须在完全了解此免责声明，并且不能依赖恒生指数有限公司及恒生资讯服务有限公司的情况下交易该产品。为避免产生疑问，本免责声明不构成任何经纪、持有人或任何其它人士与恒生指数有限公司及</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或恒生资讯服务有限公司之间的任何合约或准合约关系，也不应视作已构成这种关系。任何投资者如认购或购买该产品权益，该投资者将被视为已承认、理解并接受此免责声明并受其约束，以及承认、理解并接受该产品所使用之该指数数值为恒生指数有限公司酌情计算的结果。</w:t>
      </w:r>
    </w:p>
    <w:p w14:paraId="29E9684D" w14:textId="77777777" w:rsidR="0072264F" w:rsidRPr="00487553" w:rsidRDefault="0072264F"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如果投资者认购或购买产品权益，该投资者将被视为已承认、理解并接受免责声明并受其约束；以及产品所使用之指数水平为恒生指数公司酌情计算的结果。”</w:t>
      </w:r>
    </w:p>
    <w:p w14:paraId="7A531182" w14:textId="77777777" w:rsidR="0072264F" w:rsidRPr="00487553" w:rsidRDefault="0072264F"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对于恒生指数公司上述免责声明中提及的可能对基金、投资者及相关服务机构造成的损失，基金管理人不承担任何责任。</w:t>
      </w:r>
    </w:p>
    <w:p w14:paraId="5FD3A9A0" w14:textId="77777777" w:rsidR="00F81D17" w:rsidRPr="00487553" w:rsidRDefault="005136E1" w:rsidP="00D94E68">
      <w:pPr>
        <w:snapToGrid w:val="0"/>
        <w:spacing w:line="360" w:lineRule="auto"/>
        <w:ind w:firstLineChars="200" w:firstLine="420"/>
        <w:rPr>
          <w:rFonts w:asciiTheme="minorEastAsia" w:eastAsiaTheme="minorEastAsia" w:hAnsiTheme="minorEastAsia"/>
        </w:rPr>
      </w:pPr>
      <w:bookmarkStart w:id="19" w:name="_DV_M91"/>
      <w:bookmarkEnd w:id="15"/>
      <w:bookmarkEnd w:id="16"/>
      <w:bookmarkEnd w:id="17"/>
      <w:bookmarkEnd w:id="18"/>
      <w:bookmarkEnd w:id="19"/>
      <w:r w:rsidRPr="00487553">
        <w:rPr>
          <w:rFonts w:asciiTheme="minorEastAsia" w:eastAsiaTheme="minorEastAsia" w:hAnsiTheme="minorEastAsia" w:hint="eastAsia"/>
        </w:rPr>
        <w:t>3</w:t>
      </w:r>
      <w:r w:rsidR="00F81D17" w:rsidRPr="00487553">
        <w:rPr>
          <w:rFonts w:asciiTheme="minorEastAsia" w:eastAsiaTheme="minorEastAsia" w:hAnsiTheme="minorEastAsia" w:hint="eastAsia"/>
        </w:rPr>
        <w:t>、基金收益率与业绩</w:t>
      </w:r>
      <w:r w:rsidR="00170C41" w:rsidRPr="00487553">
        <w:rPr>
          <w:rFonts w:asciiTheme="minorEastAsia" w:eastAsiaTheme="minorEastAsia" w:hAnsiTheme="minorEastAsia" w:hint="eastAsia"/>
        </w:rPr>
        <w:t>比较</w:t>
      </w:r>
      <w:r w:rsidR="00F81D17" w:rsidRPr="00487553">
        <w:rPr>
          <w:rFonts w:asciiTheme="minorEastAsia" w:eastAsiaTheme="minorEastAsia" w:hAnsiTheme="minorEastAsia" w:hint="eastAsia"/>
        </w:rPr>
        <w:t>基准收益率偏离的风险，主要影响因素包括：</w:t>
      </w:r>
    </w:p>
    <w:p w14:paraId="561F53A3" w14:textId="77777777" w:rsidR="00F81D17" w:rsidRPr="00487553" w:rsidRDefault="00F81D1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w:t>
      </w:r>
      <w:r w:rsidR="00650BE2" w:rsidRPr="00487553">
        <w:rPr>
          <w:rFonts w:asciiTheme="minorEastAsia" w:eastAsiaTheme="minorEastAsia" w:hAnsiTheme="minorEastAsia" w:hint="eastAsia"/>
        </w:rPr>
        <w:t>恒生中国企业ETF</w:t>
      </w:r>
      <w:r w:rsidRPr="00487553">
        <w:rPr>
          <w:rFonts w:asciiTheme="minorEastAsia" w:eastAsiaTheme="minorEastAsia" w:hAnsiTheme="minorEastAsia" w:hint="eastAsia"/>
        </w:rPr>
        <w:t>对</w:t>
      </w:r>
      <w:r w:rsidR="00650BE2" w:rsidRPr="00487553">
        <w:rPr>
          <w:rFonts w:asciiTheme="minorEastAsia" w:eastAsiaTheme="minorEastAsia" w:hAnsiTheme="minorEastAsia" w:hint="eastAsia"/>
        </w:rPr>
        <w:t>恒生中国企业</w:t>
      </w:r>
      <w:r w:rsidRPr="00487553">
        <w:rPr>
          <w:rFonts w:asciiTheme="minorEastAsia" w:eastAsiaTheme="minorEastAsia" w:hAnsiTheme="minorEastAsia"/>
        </w:rPr>
        <w:t>指数</w:t>
      </w:r>
      <w:r w:rsidRPr="00487553">
        <w:rPr>
          <w:rFonts w:asciiTheme="minorEastAsia" w:eastAsiaTheme="minorEastAsia" w:hAnsiTheme="minorEastAsia" w:hint="eastAsia"/>
        </w:rPr>
        <w:t>的跟踪误差：本基金主要通过投资于</w:t>
      </w:r>
      <w:r w:rsidR="00680D56" w:rsidRPr="00487553">
        <w:rPr>
          <w:rFonts w:asciiTheme="minorEastAsia" w:eastAsiaTheme="minorEastAsia" w:hAnsiTheme="minorEastAsia" w:hint="eastAsia"/>
        </w:rPr>
        <w:t>恒生中国企业</w:t>
      </w:r>
      <w:r w:rsidRPr="00487553">
        <w:rPr>
          <w:rFonts w:asciiTheme="minorEastAsia" w:eastAsiaTheme="minorEastAsia" w:hAnsiTheme="minorEastAsia" w:hint="eastAsia"/>
        </w:rPr>
        <w:t>ETF实现对业绩比较基准的紧密跟踪，</w:t>
      </w:r>
      <w:r w:rsidR="00680D56" w:rsidRPr="00487553">
        <w:rPr>
          <w:rFonts w:asciiTheme="minorEastAsia" w:eastAsiaTheme="minorEastAsia" w:hAnsiTheme="minorEastAsia" w:hint="eastAsia"/>
        </w:rPr>
        <w:t>恒生中国企业</w:t>
      </w:r>
      <w:r w:rsidRPr="00487553">
        <w:rPr>
          <w:rFonts w:asciiTheme="minorEastAsia" w:eastAsiaTheme="minorEastAsia" w:hAnsiTheme="minorEastAsia" w:hint="eastAsia"/>
        </w:rPr>
        <w:t>ETF对</w:t>
      </w:r>
      <w:r w:rsidR="00680D56" w:rsidRPr="00487553">
        <w:rPr>
          <w:rFonts w:asciiTheme="minorEastAsia" w:eastAsiaTheme="minorEastAsia" w:hAnsiTheme="minorEastAsia" w:hint="eastAsia"/>
        </w:rPr>
        <w:t>恒生中国企业</w:t>
      </w:r>
      <w:r w:rsidRPr="00487553">
        <w:rPr>
          <w:rFonts w:asciiTheme="minorEastAsia" w:eastAsiaTheme="minorEastAsia" w:hAnsiTheme="minorEastAsia"/>
        </w:rPr>
        <w:t>指数</w:t>
      </w:r>
      <w:r w:rsidRPr="00487553">
        <w:rPr>
          <w:rFonts w:asciiTheme="minorEastAsia" w:eastAsiaTheme="minorEastAsia" w:hAnsiTheme="minorEastAsia" w:hint="eastAsia"/>
        </w:rPr>
        <w:t>的跟踪误差会影响本基金对业绩基准的跟踪误差；</w:t>
      </w:r>
    </w:p>
    <w:p w14:paraId="0AD87F5E" w14:textId="77777777" w:rsidR="00F81D17" w:rsidRPr="00487553" w:rsidRDefault="00F81D1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（2）本基金发生申购赎回、管理费和托管费收取等其他导致基金跟踪误差的情形。</w:t>
      </w:r>
    </w:p>
    <w:p w14:paraId="2E9AE2E3" w14:textId="1A6FD577" w:rsidR="00F81D17" w:rsidRPr="00487553" w:rsidRDefault="005136E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w:t>
      </w:r>
      <w:r w:rsidR="00F81D17" w:rsidRPr="00487553">
        <w:rPr>
          <w:rFonts w:asciiTheme="minorEastAsia" w:eastAsiaTheme="minorEastAsia" w:hAnsiTheme="minorEastAsia" w:hint="eastAsia"/>
        </w:rPr>
        <w:t>、由于本基金在投资限制、运作机制和投资策略等方面与</w:t>
      </w:r>
      <w:r w:rsidR="00E838E3" w:rsidRPr="00487553">
        <w:rPr>
          <w:rFonts w:asciiTheme="minorEastAsia" w:eastAsiaTheme="minorEastAsia" w:hAnsiTheme="minorEastAsia" w:hint="eastAsia"/>
        </w:rPr>
        <w:t>易方达</w:t>
      </w:r>
      <w:r w:rsidR="00680D56" w:rsidRPr="00487553">
        <w:rPr>
          <w:rFonts w:asciiTheme="minorEastAsia" w:eastAsiaTheme="minorEastAsia" w:hAnsiTheme="minorEastAsia" w:hint="eastAsia"/>
        </w:rPr>
        <w:t>恒生中国企业</w:t>
      </w:r>
      <w:r w:rsidR="00F81D17" w:rsidRPr="00487553">
        <w:rPr>
          <w:rFonts w:asciiTheme="minorEastAsia" w:eastAsiaTheme="minorEastAsia" w:hAnsiTheme="minorEastAsia" w:hint="eastAsia"/>
        </w:rPr>
        <w:t>ETF不同，因此本基金具有与</w:t>
      </w:r>
      <w:r w:rsidR="00E838E3" w:rsidRPr="00487553">
        <w:rPr>
          <w:rFonts w:asciiTheme="minorEastAsia" w:eastAsiaTheme="minorEastAsia" w:hAnsiTheme="minorEastAsia" w:hint="eastAsia"/>
        </w:rPr>
        <w:t>易方达</w:t>
      </w:r>
      <w:r w:rsidR="00680D56" w:rsidRPr="00487553">
        <w:rPr>
          <w:rFonts w:asciiTheme="minorEastAsia" w:eastAsiaTheme="minorEastAsia" w:hAnsiTheme="minorEastAsia" w:hint="eastAsia"/>
        </w:rPr>
        <w:t>恒生中国企业</w:t>
      </w:r>
      <w:r w:rsidR="00F81D17" w:rsidRPr="00487553">
        <w:rPr>
          <w:rFonts w:asciiTheme="minorEastAsia" w:eastAsiaTheme="minorEastAsia" w:hAnsiTheme="minorEastAsia" w:hint="eastAsia"/>
        </w:rPr>
        <w:t>ETF不同的风险收益特征及净值增长率。</w:t>
      </w:r>
    </w:p>
    <w:p w14:paraId="06FED89D" w14:textId="77777777" w:rsidR="00E36F25" w:rsidRPr="00487553" w:rsidRDefault="005136E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w:t>
      </w:r>
      <w:r w:rsidR="00F81D17" w:rsidRPr="00487553">
        <w:rPr>
          <w:rFonts w:asciiTheme="minorEastAsia" w:eastAsiaTheme="minorEastAsia" w:hAnsiTheme="minorEastAsia" w:hint="eastAsia"/>
        </w:rPr>
        <w:t>、本基金属于联接基金，主要投资于</w:t>
      </w:r>
      <w:r w:rsidR="001F4757" w:rsidRPr="00487553">
        <w:rPr>
          <w:rFonts w:asciiTheme="minorEastAsia" w:eastAsiaTheme="minorEastAsia" w:hAnsiTheme="minorEastAsia" w:hint="eastAsia"/>
        </w:rPr>
        <w:t>易方达</w:t>
      </w:r>
      <w:r w:rsidR="00680D56" w:rsidRPr="00487553">
        <w:rPr>
          <w:rFonts w:asciiTheme="minorEastAsia" w:eastAsiaTheme="minorEastAsia" w:hAnsiTheme="minorEastAsia" w:hint="eastAsia"/>
        </w:rPr>
        <w:t>恒生中国企业</w:t>
      </w:r>
      <w:r w:rsidR="00F81D17" w:rsidRPr="00487553">
        <w:rPr>
          <w:rFonts w:asciiTheme="minorEastAsia" w:eastAsiaTheme="minorEastAsia" w:hAnsiTheme="minorEastAsia" w:hint="eastAsia"/>
        </w:rPr>
        <w:t>ETF，因此</w:t>
      </w:r>
      <w:r w:rsidR="001F4757" w:rsidRPr="00487553">
        <w:rPr>
          <w:rFonts w:asciiTheme="minorEastAsia" w:eastAsiaTheme="minorEastAsia" w:hAnsiTheme="minorEastAsia" w:hint="eastAsia"/>
        </w:rPr>
        <w:t>易方达</w:t>
      </w:r>
      <w:r w:rsidR="00680D56" w:rsidRPr="00487553">
        <w:rPr>
          <w:rFonts w:asciiTheme="minorEastAsia" w:eastAsiaTheme="minorEastAsia" w:hAnsiTheme="minorEastAsia" w:hint="eastAsia"/>
        </w:rPr>
        <w:t>恒生中国企业</w:t>
      </w:r>
      <w:r w:rsidR="00F81D17" w:rsidRPr="00487553">
        <w:rPr>
          <w:rFonts w:asciiTheme="minorEastAsia" w:eastAsiaTheme="minorEastAsia" w:hAnsiTheme="minorEastAsia"/>
        </w:rPr>
        <w:t>ETF</w:t>
      </w:r>
      <w:r w:rsidR="00F81D17" w:rsidRPr="00487553">
        <w:rPr>
          <w:rFonts w:asciiTheme="minorEastAsia" w:eastAsiaTheme="minorEastAsia" w:hAnsiTheme="minorEastAsia" w:hint="eastAsia"/>
        </w:rPr>
        <w:t>面临的风险可能直接或间接成为本基金的风险</w:t>
      </w:r>
      <w:r w:rsidR="000558A7" w:rsidRPr="00487553">
        <w:rPr>
          <w:rFonts w:asciiTheme="minorEastAsia" w:eastAsiaTheme="minorEastAsia" w:hAnsiTheme="minorEastAsia" w:hint="eastAsia"/>
        </w:rPr>
        <w:t>，投资者应知悉并关注易方达恒生中国企业</w:t>
      </w:r>
      <w:r w:rsidR="000558A7" w:rsidRPr="00487553">
        <w:rPr>
          <w:rFonts w:asciiTheme="minorEastAsia" w:eastAsiaTheme="minorEastAsia" w:hAnsiTheme="minorEastAsia"/>
        </w:rPr>
        <w:t>ETF</w:t>
      </w:r>
      <w:r w:rsidR="000558A7" w:rsidRPr="00487553">
        <w:rPr>
          <w:rFonts w:asciiTheme="minorEastAsia" w:eastAsiaTheme="minorEastAsia" w:hAnsiTheme="minorEastAsia" w:hint="eastAsia"/>
        </w:rPr>
        <w:t>招募说明书等文件中的风险揭示内容。</w:t>
      </w:r>
    </w:p>
    <w:p w14:paraId="79C8B0B6" w14:textId="77777777" w:rsidR="00F81D17" w:rsidRPr="00487553" w:rsidRDefault="00E36F2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6、本基金开通了外币认购、申购和赎回业务，在方便投资者的同时，也增加了相关业务处理的复杂性，从而带来相应的风险，增加投资者的支出和基金运作成本。</w:t>
      </w:r>
    </w:p>
    <w:p w14:paraId="2330205E" w14:textId="77777777" w:rsidR="000057FE" w:rsidRPr="00487553" w:rsidRDefault="00E36F2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w:t>
      </w:r>
      <w:r w:rsidR="00F81D17" w:rsidRPr="00487553">
        <w:rPr>
          <w:rFonts w:asciiTheme="minorEastAsia" w:eastAsiaTheme="minorEastAsia" w:hAnsiTheme="minorEastAsia" w:hint="eastAsia"/>
        </w:rPr>
        <w:t>、</w:t>
      </w:r>
      <w:r w:rsidR="00F81D17" w:rsidRPr="00487553">
        <w:rPr>
          <w:rFonts w:asciiTheme="minorEastAsia" w:eastAsiaTheme="minorEastAsia" w:hAnsiTheme="minorEastAsia"/>
        </w:rPr>
        <w:t>在</w:t>
      </w:r>
      <w:r w:rsidR="00F81D17" w:rsidRPr="00487553">
        <w:rPr>
          <w:rFonts w:asciiTheme="minorEastAsia" w:eastAsiaTheme="minorEastAsia" w:hAnsiTheme="minorEastAsia" w:hint="eastAsia"/>
        </w:rPr>
        <w:t>本基金目标ETF</w:t>
      </w:r>
      <w:r w:rsidR="001F4757" w:rsidRPr="00487553">
        <w:rPr>
          <w:rFonts w:asciiTheme="minorEastAsia" w:eastAsiaTheme="minorEastAsia" w:hAnsiTheme="minorEastAsia" w:hint="eastAsia"/>
        </w:rPr>
        <w:t>易方达</w:t>
      </w:r>
      <w:r w:rsidR="00680D56" w:rsidRPr="00487553">
        <w:rPr>
          <w:rFonts w:asciiTheme="minorEastAsia" w:eastAsiaTheme="minorEastAsia" w:hAnsiTheme="minorEastAsia" w:hint="eastAsia"/>
        </w:rPr>
        <w:t>恒生中国企业ETF</w:t>
      </w:r>
      <w:r w:rsidR="00F81D17" w:rsidRPr="00487553">
        <w:rPr>
          <w:rFonts w:asciiTheme="minorEastAsia" w:eastAsiaTheme="minorEastAsia" w:hAnsiTheme="minorEastAsia" w:hint="eastAsia"/>
        </w:rPr>
        <w:t>未能符合基金备案条件时，本基金将不能设立，面临募集失败的风险。</w:t>
      </w:r>
    </w:p>
    <w:p w14:paraId="08567F82" w14:textId="77777777" w:rsidR="00F6363F" w:rsidRPr="00487553" w:rsidRDefault="006D4F71" w:rsidP="00162D9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8</w:t>
      </w:r>
      <w:r w:rsidR="00D476F8" w:rsidRPr="00487553">
        <w:rPr>
          <w:rFonts w:asciiTheme="minorEastAsia" w:eastAsiaTheme="minorEastAsia" w:hAnsiTheme="minorEastAsia" w:hint="eastAsia"/>
        </w:rPr>
        <w:t>、</w:t>
      </w:r>
      <w:r w:rsidRPr="00487553">
        <w:rPr>
          <w:rFonts w:asciiTheme="minorEastAsia" w:eastAsiaTheme="minorEastAsia" w:hAnsiTheme="minorEastAsia" w:hint="eastAsia"/>
        </w:rPr>
        <w:t>通过内地与香港股票市场交易互联互通机制投资于香港市场股票的风险</w:t>
      </w:r>
    </w:p>
    <w:p w14:paraId="79664B08" w14:textId="77777777" w:rsidR="00F6363F" w:rsidRPr="00487553" w:rsidRDefault="006D4F71" w:rsidP="00162D9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若本基金通过内地与香港股票市场交易互联互通机制投资于香港市场股票，本基金还将面临以下特有风险，包括但不限于：</w:t>
      </w:r>
    </w:p>
    <w:p w14:paraId="64596392" w14:textId="77777777" w:rsidR="00F6363F" w:rsidRPr="00487553" w:rsidRDefault="00D476F8" w:rsidP="00162D9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w:t>
      </w:r>
      <w:r w:rsidR="006D4F71" w:rsidRPr="00487553">
        <w:rPr>
          <w:rFonts w:asciiTheme="minorEastAsia" w:eastAsiaTheme="minorEastAsia" w:hAnsiTheme="minorEastAsia"/>
        </w:rPr>
        <w:t>1</w:t>
      </w:r>
      <w:r w:rsidRPr="00487553">
        <w:rPr>
          <w:rFonts w:asciiTheme="minorEastAsia" w:eastAsiaTheme="minorEastAsia" w:hAnsiTheme="minorEastAsia" w:hint="eastAsia"/>
        </w:rPr>
        <w:t>)</w:t>
      </w:r>
      <w:r w:rsidR="006D4F71" w:rsidRPr="00487553">
        <w:rPr>
          <w:rFonts w:asciiTheme="minorEastAsia" w:eastAsiaTheme="minorEastAsia" w:hAnsiTheme="minorEastAsia" w:hint="eastAsia"/>
        </w:rPr>
        <w:t>港股通制度下对公司行为的处理规则带来的风险。本基金因所持香港证券市场股票权益分派、转换、上市公司被收购等情形或者异常情况，所取得的港股通股票以外的香港联交所上市证券，只能通过港股通卖出，但不得买入；因港股通股票权益分派或者转换等情形取得的香港联交所上市股票的认购权利在联交所上市的，可以通过港股通卖出，但不得行权；因港股通股票权益分派、转换或者上市公司被收购等所取得的非联交所上市证券，可以享有相关权益，但不得通过港股通买入或卖出。本基金存在因上述规则，利益得不到</w:t>
      </w:r>
      <w:r w:rsidR="006D4F71" w:rsidRPr="00487553">
        <w:rPr>
          <w:rFonts w:asciiTheme="minorEastAsia" w:eastAsiaTheme="minorEastAsia" w:hAnsiTheme="minorEastAsia" w:hint="eastAsia"/>
        </w:rPr>
        <w:lastRenderedPageBreak/>
        <w:t>最大化甚至受损的风险。</w:t>
      </w:r>
    </w:p>
    <w:p w14:paraId="544DC702" w14:textId="4F5D0115" w:rsidR="00F6363F" w:rsidRPr="00487553" w:rsidRDefault="00D476F8" w:rsidP="00162D9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w:t>
      </w:r>
      <w:r w:rsidR="006D4F71" w:rsidRPr="00487553">
        <w:rPr>
          <w:rFonts w:asciiTheme="minorEastAsia" w:eastAsiaTheme="minorEastAsia" w:hAnsiTheme="minorEastAsia"/>
        </w:rPr>
        <w:t>2</w:t>
      </w:r>
      <w:r w:rsidRPr="00487553">
        <w:rPr>
          <w:rFonts w:asciiTheme="minorEastAsia" w:eastAsiaTheme="minorEastAsia" w:hAnsiTheme="minorEastAsia"/>
        </w:rPr>
        <w:t>)</w:t>
      </w:r>
      <w:r w:rsidR="006D4F71" w:rsidRPr="00487553">
        <w:rPr>
          <w:rFonts w:asciiTheme="minorEastAsia" w:eastAsiaTheme="minorEastAsia" w:hAnsiTheme="minorEastAsia" w:hint="eastAsia"/>
        </w:rPr>
        <w:t>交易失败及交易中断的风险。在内地与香港股票市场交易互联互通机制下，港股通交易存在每日额度限制，本基金可能面临每日额度不足而交易失败的风险。若香港联交所与内地交易所的证券交易服务公司之间的报盘系统或者通信链路出现故障，可能导致</w:t>
      </w:r>
      <w:r w:rsidR="006D4F71" w:rsidRPr="00487553">
        <w:rPr>
          <w:rFonts w:asciiTheme="minorEastAsia" w:eastAsiaTheme="minorEastAsia" w:hAnsiTheme="minorEastAsia"/>
        </w:rPr>
        <w:t>15</w:t>
      </w:r>
      <w:r w:rsidR="006D4F71" w:rsidRPr="00487553">
        <w:rPr>
          <w:rFonts w:asciiTheme="minorEastAsia" w:eastAsiaTheme="minorEastAsia" w:hAnsiTheme="minorEastAsia" w:hint="eastAsia"/>
        </w:rPr>
        <w:t>分钟以上不能申报和撤销申报的交易中断风险。</w:t>
      </w:r>
    </w:p>
    <w:p w14:paraId="46D871F1" w14:textId="77777777" w:rsidR="00D476F8" w:rsidRPr="00487553" w:rsidRDefault="00D476F8" w:rsidP="000F2B7A">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w:t>
      </w:r>
      <w:r w:rsidR="006D4F71" w:rsidRPr="00487553">
        <w:rPr>
          <w:rFonts w:asciiTheme="minorEastAsia" w:eastAsiaTheme="minorEastAsia" w:hAnsiTheme="minorEastAsia"/>
        </w:rPr>
        <w:t>3</w:t>
      </w:r>
      <w:r w:rsidRPr="00487553">
        <w:rPr>
          <w:rFonts w:asciiTheme="minorEastAsia" w:eastAsiaTheme="minorEastAsia" w:hAnsiTheme="minorEastAsia"/>
        </w:rPr>
        <w:t>)</w:t>
      </w:r>
      <w:r w:rsidR="006D4F71" w:rsidRPr="00487553">
        <w:rPr>
          <w:rFonts w:asciiTheme="minorEastAsia" w:eastAsiaTheme="minorEastAsia" w:hAnsiTheme="minorEastAsia" w:hint="eastAsia"/>
        </w:rPr>
        <w:t>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14:paraId="7897F8B3" w14:textId="77777777" w:rsidR="00D94E68" w:rsidRPr="00487553" w:rsidRDefault="0064594E" w:rsidP="00D94E68">
      <w:pPr>
        <w:pStyle w:val="2"/>
        <w:numPr>
          <w:ilvl w:val="1"/>
          <w:numId w:val="14"/>
        </w:numPr>
        <w:tabs>
          <w:tab w:val="num" w:pos="426"/>
        </w:tabs>
        <w:snapToGrid w:val="0"/>
        <w:spacing w:beforeLines="0" w:afterLines="0" w:line="360" w:lineRule="auto"/>
        <w:ind w:left="0" w:firstLineChars="0" w:firstLine="0"/>
        <w:rPr>
          <w:rFonts w:asciiTheme="minorEastAsia" w:eastAsiaTheme="minorEastAsia" w:hAnsiTheme="minorEastAsia"/>
        </w:rPr>
      </w:pPr>
      <w:bookmarkStart w:id="20" w:name="_Toc323050959"/>
      <w:bookmarkStart w:id="21" w:name="_Toc296440074"/>
      <w:bookmarkStart w:id="22" w:name="_Toc296526888"/>
      <w:bookmarkStart w:id="23" w:name="_Toc277752453"/>
      <w:bookmarkStart w:id="24" w:name="_Toc277786031"/>
      <w:bookmarkStart w:id="25" w:name="_Toc277787551"/>
      <w:bookmarkStart w:id="26" w:name="_Toc277787825"/>
      <w:bookmarkStart w:id="27" w:name="_Toc278409331"/>
      <w:bookmarkStart w:id="28" w:name="_Toc296440075"/>
      <w:bookmarkStart w:id="29" w:name="_Toc296526889"/>
      <w:bookmarkStart w:id="30" w:name="_Toc306614155"/>
      <w:bookmarkStart w:id="31" w:name="_Toc20148406"/>
      <w:bookmarkEnd w:id="20"/>
      <w:bookmarkEnd w:id="21"/>
      <w:bookmarkEnd w:id="22"/>
      <w:bookmarkEnd w:id="23"/>
      <w:bookmarkEnd w:id="24"/>
      <w:bookmarkEnd w:id="25"/>
      <w:bookmarkEnd w:id="26"/>
      <w:bookmarkEnd w:id="27"/>
      <w:r w:rsidRPr="00487553">
        <w:rPr>
          <w:rFonts w:asciiTheme="minorEastAsia" w:eastAsiaTheme="minorEastAsia" w:hAnsiTheme="minorEastAsia"/>
        </w:rPr>
        <w:t>投资风险</w:t>
      </w:r>
      <w:bookmarkEnd w:id="28"/>
      <w:bookmarkEnd w:id="29"/>
      <w:bookmarkEnd w:id="30"/>
      <w:bookmarkEnd w:id="31"/>
    </w:p>
    <w:p w14:paraId="792CD62C"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32" w:name="_Toc308079807"/>
      <w:bookmarkStart w:id="33" w:name="_Toc308190037"/>
      <w:bookmarkStart w:id="34" w:name="_Toc309285926"/>
      <w:bookmarkStart w:id="35" w:name="_Toc306614156"/>
      <w:bookmarkStart w:id="36" w:name="_Toc308697396"/>
      <w:r w:rsidRPr="00487553">
        <w:rPr>
          <w:rFonts w:asciiTheme="minorEastAsia" w:eastAsiaTheme="minorEastAsia" w:hAnsiTheme="minorEastAsia" w:hint="eastAsia"/>
          <w:szCs w:val="21"/>
        </w:rPr>
        <w:t>1、</w:t>
      </w:r>
      <w:r w:rsidRPr="00487553">
        <w:rPr>
          <w:rFonts w:asciiTheme="minorEastAsia" w:eastAsiaTheme="minorEastAsia" w:hAnsiTheme="minorEastAsia"/>
          <w:szCs w:val="21"/>
        </w:rPr>
        <w:t>市场风险</w:t>
      </w:r>
      <w:r w:rsidRPr="00487553">
        <w:rPr>
          <w:rFonts w:asciiTheme="minorEastAsia" w:eastAsiaTheme="minorEastAsia" w:hAnsiTheme="minorEastAsia" w:hint="eastAsia"/>
          <w:szCs w:val="21"/>
        </w:rPr>
        <w:t>：本基金投资于海外市场，面临海外市场波动带来的风险。影响金融市场波动的因素比较复杂，包括经济发展、政策变化、资金供求、公司盈利的变化、利率汇率波动等，都将影响基金净值的升跌。</w:t>
      </w:r>
      <w:bookmarkEnd w:id="32"/>
      <w:bookmarkEnd w:id="33"/>
      <w:bookmarkEnd w:id="34"/>
      <w:r w:rsidR="00CA3581" w:rsidRPr="00487553">
        <w:rPr>
          <w:rFonts w:asciiTheme="minorEastAsia" w:eastAsiaTheme="minorEastAsia" w:hAnsiTheme="minorEastAsia" w:hint="eastAsia"/>
          <w:szCs w:val="21"/>
        </w:rPr>
        <w:t>此外，本基金及目标ETF主要投资</w:t>
      </w:r>
      <w:r w:rsidR="0023796D" w:rsidRPr="00487553">
        <w:rPr>
          <w:rFonts w:asciiTheme="minorEastAsia" w:eastAsiaTheme="minorEastAsia" w:hAnsiTheme="minorEastAsia" w:hint="eastAsia"/>
          <w:szCs w:val="21"/>
        </w:rPr>
        <w:t>的香港</w:t>
      </w:r>
      <w:r w:rsidR="00CA3581" w:rsidRPr="00487553">
        <w:rPr>
          <w:rFonts w:asciiTheme="minorEastAsia" w:eastAsiaTheme="minorEastAsia" w:hAnsiTheme="minorEastAsia" w:hint="eastAsia"/>
          <w:szCs w:val="21"/>
        </w:rPr>
        <w:t>证券市场对每日证券交易价格并无涨跌幅上下限的规定，因此</w:t>
      </w:r>
      <w:r w:rsidR="0023796D" w:rsidRPr="00487553">
        <w:rPr>
          <w:rFonts w:asciiTheme="minorEastAsia" w:eastAsiaTheme="minorEastAsia" w:hAnsiTheme="minorEastAsia" w:hint="eastAsia"/>
          <w:szCs w:val="21"/>
        </w:rPr>
        <w:t>香港证券市场</w:t>
      </w:r>
      <w:r w:rsidR="00CA3581" w:rsidRPr="00487553">
        <w:rPr>
          <w:rFonts w:asciiTheme="minorEastAsia" w:eastAsiaTheme="minorEastAsia" w:hAnsiTheme="minorEastAsia" w:hint="eastAsia"/>
          <w:szCs w:val="21"/>
        </w:rPr>
        <w:t>证券的每日涨跌幅空间相对较大。这一因素可能会带来市场的急剧下跌，从而带来投资风险的增加。</w:t>
      </w:r>
    </w:p>
    <w:p w14:paraId="48214C98"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37" w:name="_Toc308079808"/>
      <w:bookmarkStart w:id="38" w:name="_Toc308190038"/>
      <w:bookmarkStart w:id="39" w:name="_Toc309285927"/>
      <w:r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政府管制风险：在特殊情况下，</w:t>
      </w:r>
      <w:r w:rsidRPr="00487553">
        <w:rPr>
          <w:rFonts w:asciiTheme="minorEastAsia" w:eastAsiaTheme="minorEastAsia" w:hAnsiTheme="minorEastAsia" w:hint="eastAsia"/>
          <w:szCs w:val="21"/>
        </w:rPr>
        <w:t>基金所投资市场</w:t>
      </w:r>
      <w:r w:rsidRPr="00487553">
        <w:rPr>
          <w:rFonts w:asciiTheme="minorEastAsia" w:eastAsiaTheme="minorEastAsia" w:hAnsiTheme="minorEastAsia"/>
          <w:szCs w:val="21"/>
        </w:rPr>
        <w:t>有可能</w:t>
      </w:r>
      <w:r w:rsidRPr="00487553">
        <w:rPr>
          <w:rFonts w:asciiTheme="minorEastAsia" w:eastAsiaTheme="minorEastAsia" w:hAnsiTheme="minorEastAsia" w:hint="eastAsia"/>
          <w:szCs w:val="21"/>
        </w:rPr>
        <w:t>面临</w:t>
      </w:r>
      <w:r w:rsidRPr="00487553">
        <w:rPr>
          <w:rFonts w:asciiTheme="minorEastAsia" w:eastAsiaTheme="minorEastAsia" w:hAnsiTheme="minorEastAsia"/>
          <w:szCs w:val="21"/>
        </w:rPr>
        <w:t>政府管制措施，包括对货币兑换进行限制、限制资本外流、征收高额税收等，会对基金投资造成影响。</w:t>
      </w:r>
      <w:bookmarkEnd w:id="37"/>
      <w:bookmarkEnd w:id="38"/>
      <w:bookmarkEnd w:id="39"/>
    </w:p>
    <w:p w14:paraId="408451BD"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40" w:name="_Toc308079809"/>
      <w:bookmarkStart w:id="41" w:name="_Toc308190039"/>
      <w:bookmarkStart w:id="42" w:name="_Toc309285928"/>
      <w:r w:rsidRPr="00487553">
        <w:rPr>
          <w:rFonts w:asciiTheme="minorEastAsia" w:eastAsiaTheme="minorEastAsia" w:hAnsiTheme="minorEastAsia" w:hint="eastAsia"/>
          <w:szCs w:val="21"/>
        </w:rPr>
        <w:t>3、</w:t>
      </w:r>
      <w:r w:rsidRPr="00487553">
        <w:rPr>
          <w:rFonts w:asciiTheme="minorEastAsia" w:eastAsiaTheme="minorEastAsia" w:hAnsiTheme="minorEastAsia"/>
          <w:szCs w:val="21"/>
        </w:rPr>
        <w:t>监管风险：由于监管层或监管模式出现非预期的变动，某些已经存在的或者运作的交易可能被新的监管层或监管体系认定为非法交易，或受到更严格的管理，将导致基金运作承受监管风险。基金运作可能被迫进行调整，由此可能对基金净值产生影响。</w:t>
      </w:r>
      <w:bookmarkEnd w:id="40"/>
      <w:bookmarkEnd w:id="41"/>
      <w:bookmarkEnd w:id="42"/>
    </w:p>
    <w:p w14:paraId="2F40966E"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43" w:name="_Toc308079810"/>
      <w:bookmarkStart w:id="44" w:name="_Toc308190040"/>
      <w:bookmarkStart w:id="45" w:name="_Toc309285929"/>
      <w:r w:rsidRPr="00487553">
        <w:rPr>
          <w:rFonts w:asciiTheme="minorEastAsia" w:eastAsiaTheme="minorEastAsia" w:hAnsiTheme="minorEastAsia" w:hint="eastAsia"/>
          <w:szCs w:val="21"/>
        </w:rPr>
        <w:t>4、</w:t>
      </w:r>
      <w:r w:rsidRPr="00487553">
        <w:rPr>
          <w:rFonts w:asciiTheme="minorEastAsia" w:eastAsiaTheme="minorEastAsia" w:hAnsiTheme="minorEastAsia"/>
          <w:szCs w:val="21"/>
        </w:rPr>
        <w:t>政治风险：基金所</w:t>
      </w:r>
      <w:r w:rsidRPr="00487553">
        <w:rPr>
          <w:rFonts w:asciiTheme="minorEastAsia" w:eastAsiaTheme="minorEastAsia" w:hAnsiTheme="minorEastAsia" w:hint="eastAsia"/>
          <w:szCs w:val="21"/>
        </w:rPr>
        <w:t>投资市场因政治局势变化，如</w:t>
      </w:r>
      <w:r w:rsidRPr="00487553">
        <w:rPr>
          <w:rFonts w:asciiTheme="minorEastAsia" w:eastAsiaTheme="minorEastAsia" w:hAnsiTheme="minorEastAsia"/>
          <w:szCs w:val="21"/>
        </w:rPr>
        <w:t>政策变化、</w:t>
      </w:r>
      <w:r w:rsidRPr="00487553">
        <w:rPr>
          <w:rFonts w:asciiTheme="minorEastAsia" w:eastAsiaTheme="minorEastAsia" w:hAnsiTheme="minorEastAsia" w:hint="eastAsia"/>
          <w:szCs w:val="21"/>
        </w:rPr>
        <w:t>罢工、</w:t>
      </w:r>
      <w:r w:rsidRPr="00487553">
        <w:rPr>
          <w:rFonts w:asciiTheme="minorEastAsia" w:eastAsiaTheme="minorEastAsia" w:hAnsiTheme="minorEastAsia"/>
          <w:szCs w:val="21"/>
        </w:rPr>
        <w:t>恐怖袭击、战争、暴动等，</w:t>
      </w:r>
      <w:r w:rsidRPr="00487553">
        <w:rPr>
          <w:rFonts w:asciiTheme="minorEastAsia" w:eastAsiaTheme="minorEastAsia" w:hAnsiTheme="minorEastAsia" w:hint="eastAsia"/>
          <w:szCs w:val="21"/>
        </w:rPr>
        <w:t>可能出现</w:t>
      </w:r>
      <w:r w:rsidRPr="00487553">
        <w:rPr>
          <w:rFonts w:asciiTheme="minorEastAsia" w:eastAsiaTheme="minorEastAsia" w:hAnsiTheme="minorEastAsia"/>
          <w:szCs w:val="21"/>
        </w:rPr>
        <w:t>市场大幅波动，对基金净值产生不利影响。</w:t>
      </w:r>
      <w:bookmarkEnd w:id="43"/>
      <w:bookmarkEnd w:id="44"/>
      <w:bookmarkEnd w:id="45"/>
    </w:p>
    <w:p w14:paraId="7E199CDA" w14:textId="3DE6BE84" w:rsidR="0069261B" w:rsidRPr="00487553" w:rsidRDefault="00513A34" w:rsidP="00D94E68">
      <w:pPr>
        <w:widowControl/>
        <w:snapToGrid w:val="0"/>
        <w:spacing w:line="360" w:lineRule="auto"/>
        <w:ind w:firstLineChars="200" w:firstLine="420"/>
        <w:jc w:val="left"/>
        <w:rPr>
          <w:rFonts w:asciiTheme="minorEastAsia" w:eastAsiaTheme="minorEastAsia" w:hAnsiTheme="minorEastAsia"/>
          <w:szCs w:val="21"/>
        </w:rPr>
      </w:pPr>
      <w:bookmarkStart w:id="46" w:name="_Toc308079812"/>
      <w:bookmarkStart w:id="47" w:name="_Toc308190042"/>
      <w:bookmarkStart w:id="48" w:name="_Toc309285931"/>
      <w:r w:rsidRPr="00487553">
        <w:rPr>
          <w:rFonts w:asciiTheme="minorEastAsia" w:eastAsiaTheme="minorEastAsia" w:hAnsiTheme="minorEastAsia" w:hint="eastAsia"/>
          <w:szCs w:val="21"/>
        </w:rPr>
        <w:t>5</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汇率风险：本基金投资的海外市场金融品种以外币计价，如果所投资市场的货币相对于人民币贬值，将对基金收益产生不利影响；此外，</w:t>
      </w:r>
      <w:r w:rsidR="0021596D" w:rsidRPr="00487553">
        <w:rPr>
          <w:rFonts w:asciiTheme="minorEastAsia" w:eastAsiaTheme="minorEastAsia" w:hAnsiTheme="minorEastAsia"/>
          <w:szCs w:val="21"/>
        </w:rPr>
        <w:t>外币对人民币的汇率大幅波动</w:t>
      </w:r>
      <w:r w:rsidR="00232E48" w:rsidRPr="00487553">
        <w:rPr>
          <w:rFonts w:asciiTheme="minorEastAsia" w:eastAsiaTheme="minorEastAsia" w:hAnsiTheme="minorEastAsia" w:hint="eastAsia"/>
          <w:szCs w:val="21"/>
        </w:rPr>
        <w:t>也</w:t>
      </w:r>
      <w:r w:rsidR="0021596D" w:rsidRPr="00487553">
        <w:rPr>
          <w:rFonts w:asciiTheme="minorEastAsia" w:eastAsiaTheme="minorEastAsia" w:hAnsiTheme="minorEastAsia" w:hint="eastAsia"/>
          <w:szCs w:val="21"/>
        </w:rPr>
        <w:t>可能</w:t>
      </w:r>
      <w:r w:rsidR="00E9059F" w:rsidRPr="00487553">
        <w:rPr>
          <w:rFonts w:asciiTheme="minorEastAsia" w:eastAsiaTheme="minorEastAsia" w:hAnsiTheme="minorEastAsia"/>
          <w:szCs w:val="21"/>
        </w:rPr>
        <w:t>加大</w:t>
      </w:r>
      <w:r w:rsidR="00E9059F" w:rsidRPr="00487553">
        <w:rPr>
          <w:rFonts w:asciiTheme="minorEastAsia" w:eastAsiaTheme="minorEastAsia" w:hAnsiTheme="minorEastAsia" w:hint="eastAsia"/>
          <w:szCs w:val="21"/>
        </w:rPr>
        <w:t>人民币份额</w:t>
      </w:r>
      <w:r w:rsidR="00E9059F" w:rsidRPr="00487553">
        <w:rPr>
          <w:rFonts w:asciiTheme="minorEastAsia" w:eastAsiaTheme="minorEastAsia" w:hAnsiTheme="minorEastAsia"/>
          <w:szCs w:val="21"/>
        </w:rPr>
        <w:t>基金净值波动的幅度。</w:t>
      </w:r>
      <w:r w:rsidR="006D6818" w:rsidRPr="00487553">
        <w:rPr>
          <w:rFonts w:asciiTheme="minorEastAsia" w:eastAsiaTheme="minorEastAsia" w:hAnsiTheme="minorEastAsia" w:hint="eastAsia"/>
          <w:szCs w:val="21"/>
        </w:rPr>
        <w:t>由于本基金外币份额的净值计算与汇率挂钩，</w:t>
      </w:r>
      <w:r w:rsidR="0069261B" w:rsidRPr="00487553">
        <w:rPr>
          <w:rFonts w:asciiTheme="minorEastAsia" w:eastAsiaTheme="minorEastAsia" w:hAnsiTheme="minorEastAsia"/>
          <w:szCs w:val="21"/>
        </w:rPr>
        <w:t>外币对人民币的汇率大幅波动也</w:t>
      </w:r>
      <w:r w:rsidR="0021596D" w:rsidRPr="00487553">
        <w:rPr>
          <w:rFonts w:asciiTheme="minorEastAsia" w:eastAsiaTheme="minorEastAsia" w:hAnsiTheme="minorEastAsia" w:hint="eastAsia"/>
          <w:szCs w:val="21"/>
        </w:rPr>
        <w:t>可能</w:t>
      </w:r>
      <w:r w:rsidR="0069261B" w:rsidRPr="00487553">
        <w:rPr>
          <w:rFonts w:asciiTheme="minorEastAsia" w:eastAsiaTheme="minorEastAsia" w:hAnsiTheme="minorEastAsia"/>
          <w:szCs w:val="21"/>
        </w:rPr>
        <w:t>加大</w:t>
      </w:r>
      <w:r w:rsidR="006D6818" w:rsidRPr="00487553">
        <w:rPr>
          <w:rFonts w:asciiTheme="minorEastAsia" w:eastAsiaTheme="minorEastAsia" w:hAnsiTheme="minorEastAsia" w:hint="eastAsia"/>
          <w:szCs w:val="21"/>
        </w:rPr>
        <w:t>外币份额净值</w:t>
      </w:r>
      <w:r w:rsidR="0069261B" w:rsidRPr="00487553">
        <w:rPr>
          <w:rFonts w:asciiTheme="minorEastAsia" w:eastAsiaTheme="minorEastAsia" w:hAnsiTheme="minorEastAsia"/>
          <w:szCs w:val="21"/>
        </w:rPr>
        <w:t>波动的幅度。</w:t>
      </w:r>
      <w:bookmarkEnd w:id="46"/>
      <w:bookmarkEnd w:id="47"/>
      <w:bookmarkEnd w:id="48"/>
    </w:p>
    <w:p w14:paraId="37A362CA" w14:textId="5827A000" w:rsidR="0069261B" w:rsidRPr="00487553" w:rsidRDefault="00513A34" w:rsidP="00D94E68">
      <w:pPr>
        <w:snapToGrid w:val="0"/>
        <w:spacing w:line="360" w:lineRule="auto"/>
        <w:ind w:firstLineChars="200" w:firstLine="420"/>
        <w:rPr>
          <w:rFonts w:asciiTheme="minorEastAsia" w:eastAsiaTheme="minorEastAsia" w:hAnsiTheme="minorEastAsia"/>
          <w:szCs w:val="21"/>
        </w:rPr>
      </w:pPr>
      <w:bookmarkStart w:id="49" w:name="_Toc308079813"/>
      <w:bookmarkStart w:id="50" w:name="_Toc308190043"/>
      <w:bookmarkStart w:id="51" w:name="_Toc309285932"/>
      <w:r w:rsidRPr="00487553">
        <w:rPr>
          <w:rFonts w:asciiTheme="minorEastAsia" w:eastAsiaTheme="minorEastAsia" w:hAnsiTheme="minorEastAsia" w:hint="eastAsia"/>
          <w:szCs w:val="21"/>
        </w:rPr>
        <w:t>6</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利率风险：金融市场利率的波动会导致证券市场价格和收益率的变动。利率直接影响着债券的价格和收益率，影响着企业的融资成本和利润。基金投资于债券和股票，其收益水平可能会受到利率变化的影响。</w:t>
      </w:r>
      <w:bookmarkEnd w:id="49"/>
      <w:bookmarkEnd w:id="50"/>
      <w:bookmarkEnd w:id="51"/>
    </w:p>
    <w:p w14:paraId="1211A226" w14:textId="0331F5DF" w:rsidR="0069261B" w:rsidRPr="00487553" w:rsidRDefault="00513A34" w:rsidP="00D94E68">
      <w:pPr>
        <w:snapToGrid w:val="0"/>
        <w:spacing w:line="360" w:lineRule="auto"/>
        <w:ind w:firstLineChars="200" w:firstLine="420"/>
        <w:rPr>
          <w:rFonts w:asciiTheme="minorEastAsia" w:eastAsiaTheme="minorEastAsia" w:hAnsiTheme="minorEastAsia"/>
          <w:szCs w:val="21"/>
        </w:rPr>
      </w:pPr>
      <w:bookmarkStart w:id="52" w:name="_Toc308079814"/>
      <w:bookmarkStart w:id="53" w:name="_Toc308190044"/>
      <w:bookmarkStart w:id="54" w:name="_Toc309285933"/>
      <w:r w:rsidRPr="00487553">
        <w:rPr>
          <w:rFonts w:asciiTheme="minorEastAsia" w:eastAsiaTheme="minorEastAsia" w:hAnsiTheme="minorEastAsia" w:hint="eastAsia"/>
          <w:szCs w:val="21"/>
        </w:rPr>
        <w:t>7</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衍生品风险：本基金</w:t>
      </w:r>
      <w:r w:rsidR="0069261B" w:rsidRPr="00487553">
        <w:rPr>
          <w:rFonts w:asciiTheme="minorEastAsia" w:eastAsiaTheme="minorEastAsia" w:hAnsiTheme="minorEastAsia" w:hint="eastAsia"/>
          <w:szCs w:val="21"/>
        </w:rPr>
        <w:t>可投资于期货与</w:t>
      </w:r>
      <w:r w:rsidR="0069261B" w:rsidRPr="00487553">
        <w:rPr>
          <w:rFonts w:asciiTheme="minorEastAsia" w:eastAsiaTheme="minorEastAsia" w:hAnsiTheme="minorEastAsia"/>
          <w:szCs w:val="21"/>
        </w:rPr>
        <w:t>期权</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以及外汇</w:t>
      </w:r>
      <w:r w:rsidR="0069261B" w:rsidRPr="00487553">
        <w:rPr>
          <w:rFonts w:asciiTheme="minorEastAsia" w:eastAsiaTheme="minorEastAsia" w:hAnsiTheme="minorEastAsia" w:hint="eastAsia"/>
          <w:szCs w:val="21"/>
        </w:rPr>
        <w:t>远期合约等汇率</w:t>
      </w:r>
      <w:r w:rsidR="0069261B" w:rsidRPr="00487553">
        <w:rPr>
          <w:rFonts w:asciiTheme="minorEastAsia" w:eastAsiaTheme="minorEastAsia" w:hAnsiTheme="minorEastAsia"/>
          <w:szCs w:val="21"/>
        </w:rPr>
        <w:t>衍生品。尽管本基金将谨慎地使用衍生品进行投资，但衍生品仍可能给基金带来额外风险，包括杠杆风险、交易对手的信用风险、衍生品价格与其基础品种的相关度降低带来的风险等，由此可</w:t>
      </w:r>
      <w:r w:rsidR="0069261B" w:rsidRPr="00487553">
        <w:rPr>
          <w:rFonts w:asciiTheme="minorEastAsia" w:eastAsiaTheme="minorEastAsia" w:hAnsiTheme="minorEastAsia"/>
          <w:szCs w:val="21"/>
        </w:rPr>
        <w:lastRenderedPageBreak/>
        <w:t>能会增加基金净值的波动幅度。在本基金中，衍生品将仅用于避险和进行组合的有效管理。</w:t>
      </w:r>
      <w:bookmarkEnd w:id="52"/>
      <w:bookmarkEnd w:id="53"/>
      <w:bookmarkEnd w:id="54"/>
    </w:p>
    <w:p w14:paraId="49863936" w14:textId="2EB225A2" w:rsidR="0069261B" w:rsidRPr="00487553" w:rsidRDefault="00513A34" w:rsidP="00D94E68">
      <w:pPr>
        <w:snapToGrid w:val="0"/>
        <w:spacing w:line="360" w:lineRule="auto"/>
        <w:ind w:firstLineChars="200" w:firstLine="420"/>
        <w:rPr>
          <w:rFonts w:asciiTheme="minorEastAsia" w:eastAsiaTheme="minorEastAsia" w:hAnsiTheme="minorEastAsia"/>
          <w:szCs w:val="21"/>
        </w:rPr>
      </w:pPr>
      <w:bookmarkStart w:id="55" w:name="_Toc308079815"/>
      <w:bookmarkStart w:id="56" w:name="_Toc308190045"/>
      <w:bookmarkStart w:id="57" w:name="_Toc309285934"/>
      <w:r w:rsidRPr="00487553">
        <w:rPr>
          <w:rFonts w:asciiTheme="minorEastAsia" w:eastAsiaTheme="minorEastAsia" w:hAnsiTheme="minorEastAsia" w:hint="eastAsia"/>
          <w:szCs w:val="21"/>
        </w:rPr>
        <w:t>8</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金融模型风险：基金管理人有时会使用金融模型来进行资产定价、趋势判断、风险评估等，辅助其做出投资决策。但是金融模型通常是建立在一系列的学术假设之上的，投资实践和学术假设之间存在一定的差距；而且金融模型结论的准确性往往受制于模型使用的数据的精确性。因此，基金管理人在使用金融模型时，面临出现错误结论的可能性，形成投资风险。</w:t>
      </w:r>
      <w:bookmarkEnd w:id="55"/>
      <w:bookmarkEnd w:id="56"/>
      <w:bookmarkEnd w:id="57"/>
    </w:p>
    <w:p w14:paraId="3D4DA94E" w14:textId="035A857C" w:rsidR="0069261B" w:rsidRPr="00487553" w:rsidRDefault="00513A34" w:rsidP="00D94E68">
      <w:pPr>
        <w:snapToGrid w:val="0"/>
        <w:spacing w:line="360" w:lineRule="auto"/>
        <w:ind w:firstLineChars="200" w:firstLine="420"/>
        <w:rPr>
          <w:rFonts w:asciiTheme="minorEastAsia" w:eastAsiaTheme="minorEastAsia" w:hAnsiTheme="minorEastAsia"/>
          <w:szCs w:val="21"/>
        </w:rPr>
      </w:pPr>
      <w:bookmarkStart w:id="58" w:name="_Toc308079816"/>
      <w:bookmarkStart w:id="59" w:name="_Toc308190046"/>
      <w:bookmarkStart w:id="60" w:name="_Toc309285935"/>
      <w:r w:rsidRPr="00487553">
        <w:rPr>
          <w:rFonts w:asciiTheme="minorEastAsia" w:eastAsiaTheme="minorEastAsia" w:hAnsiTheme="minorEastAsia" w:hint="eastAsia"/>
          <w:szCs w:val="21"/>
        </w:rPr>
        <w:t>9</w:t>
      </w:r>
      <w:r w:rsidR="0069261B" w:rsidRPr="00487553">
        <w:rPr>
          <w:rFonts w:asciiTheme="minorEastAsia" w:eastAsiaTheme="minorEastAsia" w:hAnsiTheme="minorEastAsia" w:hint="eastAsia"/>
          <w:szCs w:val="21"/>
        </w:rPr>
        <w:t>、</w:t>
      </w:r>
      <w:r w:rsidR="0069261B" w:rsidRPr="00487553">
        <w:rPr>
          <w:rFonts w:asciiTheme="minorEastAsia" w:eastAsiaTheme="minorEastAsia" w:hAnsiTheme="minorEastAsia"/>
          <w:szCs w:val="21"/>
        </w:rPr>
        <w:t>信用风险：信用风险是指基金在交易过程发生交收违约，或者基金所投资债券之发行人出现违约、拒绝支付到期本息，都可能导致基金资产损失和收益变化。</w:t>
      </w:r>
      <w:bookmarkEnd w:id="58"/>
      <w:bookmarkEnd w:id="59"/>
      <w:bookmarkEnd w:id="60"/>
    </w:p>
    <w:p w14:paraId="6764E342" w14:textId="77777777" w:rsidR="00513A34" w:rsidRPr="00487553" w:rsidRDefault="00513A34" w:rsidP="00513A34">
      <w:pPr>
        <w:pStyle w:val="2"/>
        <w:numPr>
          <w:ilvl w:val="1"/>
          <w:numId w:val="14"/>
        </w:numPr>
        <w:tabs>
          <w:tab w:val="num" w:pos="426"/>
        </w:tabs>
        <w:snapToGrid w:val="0"/>
        <w:spacing w:beforeLines="0" w:afterLines="0" w:line="360" w:lineRule="auto"/>
        <w:ind w:left="0" w:firstLineChars="0" w:firstLine="0"/>
        <w:rPr>
          <w:rFonts w:asciiTheme="minorEastAsia" w:eastAsiaTheme="minorEastAsia" w:hAnsiTheme="minorEastAsia"/>
        </w:rPr>
      </w:pPr>
      <w:bookmarkStart w:id="61" w:name="_Toc20148407"/>
      <w:r w:rsidRPr="00487553">
        <w:rPr>
          <w:rFonts w:asciiTheme="minorEastAsia" w:eastAsiaTheme="minorEastAsia" w:hAnsiTheme="minorEastAsia" w:hint="eastAsia"/>
        </w:rPr>
        <w:t>流动性</w:t>
      </w:r>
      <w:r w:rsidRPr="00487553">
        <w:rPr>
          <w:rFonts w:asciiTheme="minorEastAsia" w:eastAsiaTheme="minorEastAsia" w:hAnsiTheme="minorEastAsia"/>
        </w:rPr>
        <w:t>风险</w:t>
      </w:r>
      <w:bookmarkEnd w:id="61"/>
    </w:p>
    <w:p w14:paraId="246F5796"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1、流动性风险评估</w:t>
      </w:r>
    </w:p>
    <w:p w14:paraId="5E7FCB97"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是ETF联接基金，主要投资于具有良好流动性的金融工具，包括目标ETF、境外交易的跟踪同一标的指数的公募基金、恒生中国企业指数成份股及备选成份股、跟踪恒生中国企业指数的股指期货等金融衍生品、固定收益类证券、银行存款、货币市场工具以及法律法规或中国证监会允许基金投资的其他金融工具。一般情况下，上述资产市场流动性较好。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卖或申赎目标ETF；二是为应付投资者的赎回，基金被迫以不适当的价格卖出或赎回目标ETF，或卖出股票、债券、其他资产。两者均可能使基金净值受到不利影响。</w:t>
      </w:r>
    </w:p>
    <w:p w14:paraId="67B23F3D"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2、巨额赎回情形下的流动性风险管理措施</w:t>
      </w:r>
    </w:p>
    <w:p w14:paraId="3C30E9C4"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赎回申请超过上一开放日基金总份额10%的，基金管理人有权对该单个基金份额持有人超出该比例的赎回申请实施延期办理。具体情形、程序见招募说明书“基金份额的申购、赎回”之“巨额赎回的认定及处理方式。”</w:t>
      </w:r>
    </w:p>
    <w:p w14:paraId="3B84DF8B"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发生上述情形时，投资人面临无法全部赎回或无法及时获得赎回资金的风险。在本基金暂停或延期办理投资者赎回申请的情况下，投资者未能赎回的基金份额还将面临净值波动的风险。</w:t>
      </w:r>
    </w:p>
    <w:p w14:paraId="73809B14"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3、除巨额赎回情形外实施备用的流动性风险管理工具的情形、程序及对投资者的潜在影响</w:t>
      </w:r>
    </w:p>
    <w:p w14:paraId="27CA4853"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除巨额赎回情形外，本基金备用流动性风险管理工具包括但不限于暂停接受赎回申请、延缓支付赎回款项、收取短期赎回费、暂停基金估值以及证监会认定的其他措施。</w:t>
      </w:r>
    </w:p>
    <w:p w14:paraId="16456DF3" w14:textId="35822D3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暂停接受赎回申请、延缓支付赎回款项等工具的情形、程序见招募说明书“基金份额</w:t>
      </w:r>
      <w:r w:rsidRPr="00487553">
        <w:rPr>
          <w:rFonts w:asciiTheme="minorEastAsia" w:eastAsiaTheme="minorEastAsia" w:hAnsiTheme="minorEastAsia" w:hint="eastAsia"/>
          <w:szCs w:val="21"/>
        </w:rPr>
        <w:lastRenderedPageBreak/>
        <w:t>的申购、赎回”之“拒绝或暂停申购</w:t>
      </w:r>
      <w:r w:rsidR="00E91292" w:rsidRPr="00487553">
        <w:rPr>
          <w:rFonts w:asciiTheme="minorEastAsia" w:eastAsiaTheme="minorEastAsia" w:hAnsiTheme="minorEastAsia" w:hint="eastAsia"/>
          <w:szCs w:val="21"/>
        </w:rPr>
        <w:t>、暂停赎回</w:t>
      </w:r>
      <w:r w:rsidRPr="00487553">
        <w:rPr>
          <w:rFonts w:asciiTheme="minorEastAsia" w:eastAsiaTheme="minorEastAsia" w:hAnsiTheme="minorEastAsia" w:hint="eastAsia"/>
          <w:szCs w:val="21"/>
        </w:rPr>
        <w:t>的情形及处理”的相关规定。若本基金暂停赎回申请，投资者在暂停赎回期间将无法赎回其持有的基金份额</w:t>
      </w:r>
      <w:r w:rsidR="00E91292" w:rsidRPr="00487553">
        <w:rPr>
          <w:rFonts w:asciiTheme="minorEastAsia" w:eastAsiaTheme="minorEastAsia" w:hAnsiTheme="minorEastAsia" w:hint="eastAsia"/>
          <w:szCs w:val="21"/>
        </w:rPr>
        <w:t>方式</w:t>
      </w:r>
      <w:r w:rsidRPr="00487553">
        <w:rPr>
          <w:rFonts w:asciiTheme="minorEastAsia" w:eastAsiaTheme="minorEastAsia" w:hAnsiTheme="minorEastAsia" w:hint="eastAsia"/>
          <w:szCs w:val="21"/>
        </w:rPr>
        <w:t>。若本基金延缓支付赎回款项，赎回款支付时间将后延，可能对投资者的资金安排带来不利影响。</w:t>
      </w:r>
    </w:p>
    <w:p w14:paraId="0097B5EF" w14:textId="0B2EBAE1"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短期赎回费适用于持续持有期少于7日的投资者，费率为1.5%。短期赎回费由赎回基金份额的基金份额持有人承担，在基金份额持有人赎回基金份额时收取，并全额计入基金财产。短期赎回费的收取将使得投资者在持续持有期限少于7日时会承担较高的赎回费。</w:t>
      </w:r>
    </w:p>
    <w:p w14:paraId="572B3D35" w14:textId="77777777" w:rsidR="00513A34" w:rsidRPr="00487553" w:rsidRDefault="00513A34" w:rsidP="00513A3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暂停基金估值的情形、程序见招募说明书“基金资产的估值”之“暂停估值的情形”的相关规定。若本基金暂停基金估值，一方面投资者将无法知晓本基金的基金份额净值，另一方面基金将延缓支付赎回款项或暂停接受基金申购赎回申请，延缓支付赎回款项可能影响投资者的资金安排，暂停接受基金申购赎回申请将导致投资者无法申购或赎回本基金。</w:t>
      </w:r>
    </w:p>
    <w:p w14:paraId="30D7FA9D" w14:textId="323123EB" w:rsidR="00D94E68" w:rsidRPr="00487553" w:rsidRDefault="0064594E" w:rsidP="00D94E68">
      <w:pPr>
        <w:pStyle w:val="2"/>
        <w:numPr>
          <w:ilvl w:val="1"/>
          <w:numId w:val="14"/>
        </w:numPr>
        <w:tabs>
          <w:tab w:val="num" w:pos="426"/>
        </w:tabs>
        <w:snapToGrid w:val="0"/>
        <w:spacing w:beforeLines="0" w:afterLines="0" w:line="360" w:lineRule="auto"/>
        <w:ind w:left="0" w:firstLineChars="0" w:firstLine="0"/>
        <w:rPr>
          <w:rFonts w:asciiTheme="minorEastAsia" w:eastAsiaTheme="minorEastAsia" w:hAnsiTheme="minorEastAsia"/>
        </w:rPr>
      </w:pPr>
      <w:bookmarkStart w:id="62" w:name="_Toc296440077"/>
      <w:bookmarkStart w:id="63" w:name="_Toc296440087"/>
      <w:bookmarkStart w:id="64" w:name="_Toc296526900"/>
      <w:bookmarkStart w:id="65" w:name="_Toc306614166"/>
      <w:bookmarkStart w:id="66" w:name="_Toc20148408"/>
      <w:bookmarkEnd w:id="35"/>
      <w:bookmarkEnd w:id="36"/>
      <w:bookmarkEnd w:id="62"/>
      <w:r w:rsidRPr="00487553">
        <w:rPr>
          <w:rFonts w:asciiTheme="minorEastAsia" w:eastAsiaTheme="minorEastAsia" w:hAnsiTheme="minorEastAsia"/>
        </w:rPr>
        <w:t>运作风险</w:t>
      </w:r>
      <w:bookmarkEnd w:id="63"/>
      <w:bookmarkEnd w:id="64"/>
      <w:bookmarkEnd w:id="65"/>
      <w:bookmarkEnd w:id="66"/>
    </w:p>
    <w:p w14:paraId="68B62E9A"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67" w:name="_Toc308079818"/>
      <w:bookmarkStart w:id="68" w:name="_Toc308190048"/>
      <w:bookmarkStart w:id="69" w:name="_Toc296440088"/>
      <w:bookmarkStart w:id="70" w:name="_Toc296526901"/>
      <w:bookmarkStart w:id="71" w:name="_Toc306614167"/>
      <w:bookmarkStart w:id="72" w:name="_Toc308697407"/>
      <w:r w:rsidRPr="00487553">
        <w:rPr>
          <w:rFonts w:asciiTheme="minorEastAsia" w:eastAsiaTheme="minorEastAsia" w:hAnsiTheme="minorEastAsia" w:hint="eastAsia"/>
          <w:szCs w:val="21"/>
        </w:rPr>
        <w:t>1、</w:t>
      </w:r>
      <w:r w:rsidRPr="00487553">
        <w:rPr>
          <w:rFonts w:asciiTheme="minorEastAsia" w:eastAsiaTheme="minorEastAsia" w:hAnsiTheme="minorEastAsia"/>
          <w:szCs w:val="21"/>
        </w:rPr>
        <w:t>操作风险：在开放式基金的各种交易行为或者后台运作中，可能因为技术系统的故障或者差错而影响交易的正常进行或者导致投资者的利益受到影响。这种操作风险可能来自基金管理公司、</w:t>
      </w:r>
      <w:r w:rsidR="00CF2FAE" w:rsidRPr="00487553">
        <w:rPr>
          <w:rFonts w:asciiTheme="minorEastAsia" w:eastAsiaTheme="minorEastAsia" w:hAnsiTheme="minorEastAsia" w:hint="eastAsia"/>
          <w:szCs w:val="21"/>
        </w:rPr>
        <w:t>基金注册登记机构</w:t>
      </w:r>
      <w:r w:rsidR="00CF2FAE" w:rsidRPr="00487553">
        <w:rPr>
          <w:rFonts w:asciiTheme="minorEastAsia" w:eastAsiaTheme="minorEastAsia" w:hAnsiTheme="minorEastAsia"/>
          <w:szCs w:val="21"/>
        </w:rPr>
        <w:t>、</w:t>
      </w:r>
      <w:r w:rsidRPr="00487553">
        <w:rPr>
          <w:rFonts w:asciiTheme="minorEastAsia" w:eastAsiaTheme="minorEastAsia" w:hAnsiTheme="minorEastAsia"/>
          <w:szCs w:val="21"/>
        </w:rPr>
        <w:t>销售机构、交易对手、托管行、证券交易所、证券登记结算机构等等。</w:t>
      </w:r>
      <w:bookmarkEnd w:id="67"/>
      <w:bookmarkEnd w:id="68"/>
    </w:p>
    <w:p w14:paraId="3026B46B"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73" w:name="_Toc308079819"/>
      <w:bookmarkStart w:id="74" w:name="_Toc308190049"/>
      <w:r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会计核算风险：会计核算风险主要是指由于会计核算及会计管理上违规操作形成的风险或错误，通常是指基金管理人在计算、整理、制证、填单、登账、编表、保管及其相关业务处理中，由于客观原因与非主观故意所造成的行为过失，从而对基金收益造成影响的风险。</w:t>
      </w:r>
      <w:bookmarkEnd w:id="73"/>
      <w:bookmarkEnd w:id="74"/>
    </w:p>
    <w:p w14:paraId="57E44AFB"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75" w:name="_Toc308079820"/>
      <w:bookmarkStart w:id="76" w:name="_Toc308190050"/>
      <w:r w:rsidRPr="00487553">
        <w:rPr>
          <w:rFonts w:asciiTheme="minorEastAsia" w:eastAsiaTheme="minorEastAsia" w:hAnsiTheme="minorEastAsia" w:hint="eastAsia"/>
          <w:szCs w:val="21"/>
        </w:rPr>
        <w:t>3、</w:t>
      </w:r>
      <w:r w:rsidRPr="00487553">
        <w:rPr>
          <w:rFonts w:asciiTheme="minorEastAsia" w:eastAsiaTheme="minorEastAsia" w:hAnsiTheme="minorEastAsia"/>
          <w:szCs w:val="21"/>
        </w:rPr>
        <w:t>法律及税务风险：基金所投资</w:t>
      </w:r>
      <w:r w:rsidRPr="00487553">
        <w:rPr>
          <w:rFonts w:asciiTheme="minorEastAsia" w:eastAsiaTheme="minorEastAsia" w:hAnsiTheme="minorEastAsia" w:hint="eastAsia"/>
          <w:szCs w:val="21"/>
        </w:rPr>
        <w:t>市场</w:t>
      </w:r>
      <w:r w:rsidRPr="00487553">
        <w:rPr>
          <w:rFonts w:asciiTheme="minorEastAsia" w:eastAsiaTheme="minorEastAsia" w:hAnsiTheme="minorEastAsia"/>
          <w:szCs w:val="21"/>
        </w:rPr>
        <w:t>在法律法规、税务政策可能与国内不同，海外市场可能要求基金就股息、利息、资本利得等收益向当地税务机构缴纳税金，使基金收益受到一定影响。此外，</w:t>
      </w:r>
      <w:r w:rsidRPr="00487553">
        <w:rPr>
          <w:rFonts w:asciiTheme="minorEastAsia" w:eastAsiaTheme="minorEastAsia" w:hAnsiTheme="minorEastAsia" w:hint="eastAsia"/>
          <w:szCs w:val="21"/>
        </w:rPr>
        <w:t>基金所投资市场</w:t>
      </w:r>
      <w:r w:rsidRPr="00487553">
        <w:rPr>
          <w:rFonts w:asciiTheme="minorEastAsia" w:eastAsiaTheme="minorEastAsia" w:hAnsiTheme="minorEastAsia"/>
          <w:szCs w:val="21"/>
        </w:rPr>
        <w:t>的法律及税收规定可能发生变化，有可能对基金造成不利影响。</w:t>
      </w:r>
      <w:bookmarkEnd w:id="75"/>
      <w:bookmarkEnd w:id="76"/>
    </w:p>
    <w:p w14:paraId="6C1D5E6A"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77" w:name="_Toc308079821"/>
      <w:bookmarkStart w:id="78" w:name="_Toc308190051"/>
      <w:r w:rsidRPr="00487553">
        <w:rPr>
          <w:rFonts w:asciiTheme="minorEastAsia" w:eastAsiaTheme="minorEastAsia" w:hAnsiTheme="minorEastAsia" w:hint="eastAsia"/>
          <w:szCs w:val="21"/>
        </w:rPr>
        <w:t>4、</w:t>
      </w:r>
      <w:r w:rsidRPr="00487553">
        <w:rPr>
          <w:rFonts w:asciiTheme="minorEastAsia" w:eastAsiaTheme="minorEastAsia" w:hAnsiTheme="minorEastAsia"/>
          <w:szCs w:val="21"/>
        </w:rPr>
        <w:t>交易结算风险：海外的证券交易佣金可能比国内高。海外股票交易所、货币市场、证券交易体系以及证券经纪商的监管体系和制度与国内不同。证券交易交割时间、资金清算时间有可能比国内需要更长时间。此外，在基金的投资交易中，因交易的对手方无法履行对一位或多位的交易对手的支付义务而使得基金在投资交易中蒙受损失。</w:t>
      </w:r>
      <w:bookmarkEnd w:id="77"/>
      <w:bookmarkEnd w:id="78"/>
    </w:p>
    <w:p w14:paraId="3DBC038A" w14:textId="77777777" w:rsidR="0069261B" w:rsidRPr="00487553" w:rsidRDefault="0069261B" w:rsidP="00D94E68">
      <w:pPr>
        <w:snapToGrid w:val="0"/>
        <w:spacing w:line="360" w:lineRule="auto"/>
        <w:ind w:firstLineChars="200" w:firstLine="420"/>
        <w:rPr>
          <w:rFonts w:asciiTheme="minorEastAsia" w:eastAsiaTheme="minorEastAsia" w:hAnsiTheme="minorEastAsia"/>
          <w:szCs w:val="21"/>
        </w:rPr>
      </w:pPr>
      <w:bookmarkStart w:id="79" w:name="_Toc308079822"/>
      <w:bookmarkStart w:id="80" w:name="_Toc308190052"/>
      <w:r w:rsidRPr="00487553">
        <w:rPr>
          <w:rFonts w:asciiTheme="minorEastAsia" w:eastAsiaTheme="minorEastAsia" w:hAnsiTheme="minorEastAsia" w:hint="eastAsia"/>
          <w:szCs w:val="21"/>
        </w:rPr>
        <w:t>5、</w:t>
      </w:r>
      <w:r w:rsidRPr="00487553">
        <w:rPr>
          <w:rFonts w:asciiTheme="minorEastAsia" w:eastAsiaTheme="minorEastAsia" w:hAnsiTheme="minorEastAsia"/>
          <w:szCs w:val="21"/>
        </w:rPr>
        <w:t>证券借贷/正回购/逆回购风险：证券借贷的风险表现为，作为证券借出方，如果交易对手方（即证券借入方）违约，则基金可能面临到期无法获得证券借贷收入甚至借出证券无法归还的风险，从而导致基金资产发生损失。证券回购中的风险体现为，在回购交易中，交易对手方可能因财务状况或其它原因不能履行付款或结算的义务，从而对基金资产价值造成不利影响。</w:t>
      </w:r>
      <w:bookmarkEnd w:id="79"/>
      <w:bookmarkEnd w:id="80"/>
    </w:p>
    <w:p w14:paraId="70E0A8DC" w14:textId="77777777" w:rsidR="00D94E68" w:rsidRPr="00487553" w:rsidRDefault="009F0A39" w:rsidP="00D94E68">
      <w:pPr>
        <w:pStyle w:val="2"/>
        <w:numPr>
          <w:ilvl w:val="1"/>
          <w:numId w:val="14"/>
        </w:numPr>
        <w:tabs>
          <w:tab w:val="num" w:pos="426"/>
        </w:tabs>
        <w:snapToGrid w:val="0"/>
        <w:spacing w:beforeLines="0" w:afterLines="0" w:line="360" w:lineRule="auto"/>
        <w:ind w:left="0" w:firstLineChars="0" w:firstLine="0"/>
        <w:rPr>
          <w:rFonts w:asciiTheme="minorEastAsia" w:eastAsiaTheme="minorEastAsia" w:hAnsiTheme="minorEastAsia"/>
        </w:rPr>
      </w:pPr>
      <w:bookmarkStart w:id="81" w:name="_Toc277786034"/>
      <w:bookmarkStart w:id="82" w:name="_Toc277787554"/>
      <w:bookmarkStart w:id="83" w:name="_Toc277787828"/>
      <w:bookmarkStart w:id="84" w:name="_Toc278409334"/>
      <w:bookmarkStart w:id="85" w:name="_Toc20148409"/>
      <w:bookmarkStart w:id="86" w:name="_Toc296440093"/>
      <w:bookmarkStart w:id="87" w:name="_Toc296526906"/>
      <w:bookmarkStart w:id="88" w:name="_Toc306614172"/>
      <w:bookmarkEnd w:id="69"/>
      <w:bookmarkEnd w:id="70"/>
      <w:bookmarkEnd w:id="71"/>
      <w:bookmarkEnd w:id="72"/>
      <w:bookmarkEnd w:id="81"/>
      <w:bookmarkEnd w:id="82"/>
      <w:bookmarkEnd w:id="83"/>
      <w:bookmarkEnd w:id="84"/>
      <w:r w:rsidRPr="00487553">
        <w:rPr>
          <w:rFonts w:asciiTheme="minorEastAsia" w:eastAsiaTheme="minorEastAsia" w:hAnsiTheme="minorEastAsia" w:hint="eastAsia"/>
        </w:rPr>
        <w:lastRenderedPageBreak/>
        <w:t>不可抗力风险</w:t>
      </w:r>
      <w:bookmarkEnd w:id="85"/>
    </w:p>
    <w:p w14:paraId="75BAF70E" w14:textId="77777777" w:rsidR="00CA3581" w:rsidRPr="00487553" w:rsidRDefault="009F0A39" w:rsidP="00D94E68">
      <w:pPr>
        <w:snapToGrid w:val="0"/>
        <w:spacing w:line="360" w:lineRule="auto"/>
        <w:ind w:firstLineChars="200" w:firstLine="420"/>
        <w:rPr>
          <w:rFonts w:asciiTheme="minorEastAsia" w:eastAsiaTheme="minorEastAsia" w:hAnsiTheme="minorEastAsia"/>
          <w:sz w:val="24"/>
        </w:rPr>
      </w:pPr>
      <w:r w:rsidRPr="00487553">
        <w:rPr>
          <w:rFonts w:asciiTheme="minorEastAsia" w:eastAsiaTheme="minorEastAsia" w:hAnsiTheme="minorEastAsia" w:hint="eastAsia"/>
        </w:rPr>
        <w:t>战争、自然灾害等不可抗力可能导致基金资产遭受损失。基金管理人、基金托管人、证券交易所、登记结算机构和</w:t>
      </w:r>
      <w:r w:rsidR="00250825" w:rsidRPr="00487553">
        <w:rPr>
          <w:rFonts w:asciiTheme="minorEastAsia" w:eastAsiaTheme="minorEastAsia" w:hAnsiTheme="minorEastAsia" w:hint="eastAsia"/>
        </w:rPr>
        <w:t>销售</w:t>
      </w:r>
      <w:r w:rsidRPr="00487553">
        <w:rPr>
          <w:rFonts w:asciiTheme="minorEastAsia" w:eastAsiaTheme="minorEastAsia" w:hAnsiTheme="minorEastAsia" w:hint="eastAsia"/>
        </w:rPr>
        <w:t>机构等可能因不可抗力无法正常工作,从而影响基金的各项业务按正常时限完成</w:t>
      </w:r>
      <w:r w:rsidR="00CA3581" w:rsidRPr="00487553">
        <w:rPr>
          <w:rFonts w:asciiTheme="minorEastAsia" w:eastAsiaTheme="minorEastAsia" w:hAnsiTheme="minorEastAsia" w:hint="eastAsia"/>
        </w:rPr>
        <w:t>、使投资者和持有人无法及时查询权益、进行日常交易以致利益受损。</w:t>
      </w:r>
    </w:p>
    <w:p w14:paraId="20A4CD19" w14:textId="77777777" w:rsidR="009F0A39" w:rsidRPr="00487553" w:rsidRDefault="009F0A39" w:rsidP="00D94E68">
      <w:pPr>
        <w:snapToGrid w:val="0"/>
        <w:spacing w:line="360" w:lineRule="auto"/>
        <w:ind w:firstLineChars="200" w:firstLine="480"/>
        <w:rPr>
          <w:rFonts w:asciiTheme="minorEastAsia" w:eastAsiaTheme="minorEastAsia" w:hAnsiTheme="minorEastAsia"/>
          <w:sz w:val="24"/>
        </w:rPr>
      </w:pPr>
    </w:p>
    <w:p w14:paraId="6D5CF90B" w14:textId="1AC3F36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89" w:name="_Toc296440096"/>
      <w:bookmarkStart w:id="90" w:name="_Toc296526909"/>
      <w:bookmarkStart w:id="91" w:name="_Toc20148410"/>
      <w:bookmarkEnd w:id="86"/>
      <w:bookmarkEnd w:id="87"/>
      <w:bookmarkEnd w:id="88"/>
      <w:bookmarkEnd w:id="89"/>
      <w:bookmarkEnd w:id="90"/>
      <w:r w:rsidRPr="00487553">
        <w:rPr>
          <w:rFonts w:asciiTheme="minorEastAsia" w:eastAsiaTheme="minorEastAsia" w:hAnsiTheme="minorEastAsia"/>
        </w:rPr>
        <w:lastRenderedPageBreak/>
        <w:t>基金的投资</w:t>
      </w:r>
      <w:bookmarkEnd w:id="91"/>
    </w:p>
    <w:p w14:paraId="22CB0758"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92" w:name="_Toc52310848"/>
      <w:bookmarkStart w:id="93" w:name="_Toc64861723"/>
      <w:bookmarkStart w:id="94" w:name="_Toc20148411"/>
      <w:r w:rsidRPr="00487553">
        <w:rPr>
          <w:rFonts w:asciiTheme="minorEastAsia" w:eastAsiaTheme="minorEastAsia" w:hAnsiTheme="minorEastAsia"/>
        </w:rPr>
        <w:t>投资目标</w:t>
      </w:r>
      <w:bookmarkEnd w:id="92"/>
      <w:bookmarkEnd w:id="93"/>
      <w:bookmarkEnd w:id="94"/>
    </w:p>
    <w:p w14:paraId="61E5879E" w14:textId="77777777" w:rsidR="000226B9" w:rsidRPr="00487553" w:rsidRDefault="007740E9" w:rsidP="00D94E68">
      <w:pPr>
        <w:widowControl/>
        <w:snapToGrid w:val="0"/>
        <w:spacing w:line="360" w:lineRule="auto"/>
        <w:ind w:firstLineChars="200" w:firstLine="420"/>
        <w:jc w:val="left"/>
        <w:rPr>
          <w:rFonts w:asciiTheme="minorEastAsia" w:eastAsiaTheme="minorEastAsia" w:hAnsiTheme="minorEastAsia"/>
          <w:szCs w:val="21"/>
        </w:rPr>
      </w:pPr>
      <w:bookmarkStart w:id="95" w:name="_Toc52310849"/>
      <w:bookmarkStart w:id="96" w:name="_Toc64861724"/>
      <w:r w:rsidRPr="00487553">
        <w:rPr>
          <w:rFonts w:asciiTheme="minorEastAsia" w:eastAsiaTheme="minorEastAsia" w:hAnsiTheme="minorEastAsia" w:hint="eastAsia"/>
          <w:szCs w:val="21"/>
        </w:rPr>
        <w:t>紧密跟踪</w:t>
      </w:r>
      <w:r w:rsidR="00CF5FE6" w:rsidRPr="00487553">
        <w:rPr>
          <w:rFonts w:asciiTheme="minorEastAsia" w:eastAsiaTheme="minorEastAsia" w:hAnsiTheme="minorEastAsia" w:hint="eastAsia"/>
          <w:szCs w:val="21"/>
        </w:rPr>
        <w:t>业绩比较基准</w:t>
      </w:r>
      <w:r w:rsidRPr="00487553">
        <w:rPr>
          <w:rFonts w:asciiTheme="minorEastAsia" w:eastAsiaTheme="minorEastAsia" w:hAnsiTheme="minorEastAsia" w:hint="eastAsia"/>
          <w:szCs w:val="21"/>
        </w:rPr>
        <w:t>，追求跟踪偏离度及跟踪误差的最小化</w:t>
      </w:r>
      <w:r w:rsidR="000226B9" w:rsidRPr="00487553">
        <w:rPr>
          <w:rFonts w:asciiTheme="minorEastAsia" w:eastAsiaTheme="minorEastAsia" w:hAnsiTheme="minorEastAsia" w:hint="eastAsia"/>
          <w:szCs w:val="21"/>
        </w:rPr>
        <w:t>。</w:t>
      </w:r>
    </w:p>
    <w:p w14:paraId="3D90B1A2"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97" w:name="_Toc20148412"/>
      <w:r w:rsidRPr="00487553">
        <w:rPr>
          <w:rFonts w:asciiTheme="minorEastAsia" w:eastAsiaTheme="minorEastAsia" w:hAnsiTheme="minorEastAsia"/>
        </w:rPr>
        <w:t>投资范围</w:t>
      </w:r>
      <w:bookmarkEnd w:id="95"/>
      <w:bookmarkEnd w:id="96"/>
      <w:bookmarkEnd w:id="97"/>
    </w:p>
    <w:p w14:paraId="72FB69A4" w14:textId="77777777" w:rsidR="007740E9" w:rsidRPr="00487553" w:rsidRDefault="007740E9" w:rsidP="00D94E68">
      <w:pPr>
        <w:snapToGrid w:val="0"/>
        <w:spacing w:line="360" w:lineRule="auto"/>
        <w:ind w:firstLineChars="200" w:firstLine="420"/>
        <w:rPr>
          <w:rFonts w:asciiTheme="minorEastAsia" w:eastAsiaTheme="minorEastAsia" w:hAnsiTheme="minorEastAsia"/>
          <w:szCs w:val="21"/>
        </w:rPr>
      </w:pPr>
      <w:bookmarkStart w:id="98" w:name="_Toc52310850"/>
      <w:bookmarkStart w:id="99" w:name="_Toc64861725"/>
      <w:r w:rsidRPr="00487553">
        <w:rPr>
          <w:rFonts w:asciiTheme="minorEastAsia" w:eastAsiaTheme="minorEastAsia" w:hAnsiTheme="minorEastAsia" w:hint="eastAsia"/>
          <w:szCs w:val="21"/>
        </w:rPr>
        <w:t>本基金资产投资于具有良好流动性的金融工具，包括目标ETF、境外交易的跟踪同一标的指数的公募基金、恒生中国企业指数成份股及备选成份股、跟踪恒生中国企业指数的股指期货等金融衍生品、固定收益类证券、银行存款、货币市场工具以及法律法规或中国证监会允许基金投资的其他金融工具。本基金根据相关法律法规或中国证监会要求履行相关手续后，还可以投资于法律法规或中国证监会未来允许基金投资的其它金融工具</w:t>
      </w:r>
      <w:r w:rsidRPr="00487553">
        <w:rPr>
          <w:rFonts w:asciiTheme="minorEastAsia" w:eastAsiaTheme="minorEastAsia" w:hAnsiTheme="minorEastAsia" w:cs="Arial" w:hint="eastAsia"/>
          <w:szCs w:val="21"/>
        </w:rPr>
        <w:t>，但须符合中国证监会的相关规定</w:t>
      </w:r>
      <w:r w:rsidRPr="00487553">
        <w:rPr>
          <w:rFonts w:asciiTheme="minorEastAsia" w:eastAsiaTheme="minorEastAsia" w:hAnsiTheme="minorEastAsia" w:hint="eastAsia"/>
          <w:szCs w:val="21"/>
        </w:rPr>
        <w:t>。</w:t>
      </w:r>
    </w:p>
    <w:p w14:paraId="3210B7F5" w14:textId="77777777" w:rsidR="000226B9" w:rsidRPr="00487553" w:rsidRDefault="007740E9"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szCs w:val="21"/>
        </w:rPr>
        <w:t>本基金</w:t>
      </w:r>
      <w:r w:rsidRPr="00487553">
        <w:rPr>
          <w:rFonts w:asciiTheme="minorEastAsia" w:eastAsiaTheme="minorEastAsia" w:hAnsiTheme="minorEastAsia" w:hint="eastAsia"/>
          <w:szCs w:val="21"/>
        </w:rPr>
        <w:t>资产中投资于目标ETF的</w:t>
      </w:r>
      <w:r w:rsidRPr="00487553">
        <w:rPr>
          <w:rFonts w:asciiTheme="minorEastAsia" w:eastAsiaTheme="minorEastAsia" w:hAnsiTheme="minorEastAsia"/>
          <w:szCs w:val="21"/>
        </w:rPr>
        <w:t>比例不低于基金资产</w:t>
      </w:r>
      <w:r w:rsidRPr="00487553">
        <w:rPr>
          <w:rFonts w:asciiTheme="minorEastAsia" w:eastAsiaTheme="minorEastAsia" w:hAnsiTheme="minorEastAsia" w:hint="eastAsia"/>
          <w:szCs w:val="21"/>
        </w:rPr>
        <w:t>净值</w:t>
      </w:r>
      <w:r w:rsidRPr="00487553">
        <w:rPr>
          <w:rFonts w:asciiTheme="minorEastAsia" w:eastAsiaTheme="minorEastAsia" w:hAnsiTheme="minorEastAsia"/>
          <w:szCs w:val="21"/>
        </w:rPr>
        <w:t>的9</w:t>
      </w:r>
      <w:r w:rsidRPr="00487553">
        <w:rPr>
          <w:rFonts w:asciiTheme="minorEastAsia" w:eastAsiaTheme="minorEastAsia" w:hAnsiTheme="minorEastAsia" w:hint="eastAsia"/>
          <w:szCs w:val="21"/>
        </w:rPr>
        <w:t>0</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，现金或者到期日在一年以内的政府债券不低于基金资产净值的</w:t>
      </w:r>
      <w:r w:rsidRPr="00487553">
        <w:rPr>
          <w:rFonts w:asciiTheme="minorEastAsia" w:eastAsiaTheme="minorEastAsia" w:hAnsiTheme="minorEastAsia"/>
          <w:szCs w:val="21"/>
        </w:rPr>
        <w:t>5%</w:t>
      </w:r>
      <w:r w:rsidR="00E91292" w:rsidRPr="00487553">
        <w:rPr>
          <w:rFonts w:asciiTheme="minorEastAsia" w:eastAsiaTheme="minorEastAsia" w:hAnsiTheme="minorEastAsia" w:hint="eastAsia"/>
          <w:szCs w:val="21"/>
        </w:rPr>
        <w:t>，现金不包括结算备付金、存出保证金、应收申购款等</w:t>
      </w:r>
      <w:r w:rsidRPr="00487553">
        <w:rPr>
          <w:rFonts w:asciiTheme="minorEastAsia" w:eastAsiaTheme="minorEastAsia" w:hAnsiTheme="minorEastAsia" w:hint="eastAsia"/>
          <w:szCs w:val="21"/>
        </w:rPr>
        <w:t>。</w:t>
      </w:r>
    </w:p>
    <w:p w14:paraId="466E03C0" w14:textId="152C91C0"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00" w:name="_Toc20148413"/>
      <w:r w:rsidRPr="00487553">
        <w:rPr>
          <w:rFonts w:asciiTheme="minorEastAsia" w:eastAsiaTheme="minorEastAsia" w:hAnsiTheme="minorEastAsia"/>
        </w:rPr>
        <w:t>投资理念</w:t>
      </w:r>
      <w:bookmarkEnd w:id="98"/>
      <w:bookmarkEnd w:id="99"/>
      <w:bookmarkEnd w:id="100"/>
    </w:p>
    <w:p w14:paraId="0592BD1D" w14:textId="77777777" w:rsidR="002A41B1" w:rsidRPr="00487553" w:rsidDel="00794C36" w:rsidRDefault="007740E9" w:rsidP="00D94E68">
      <w:pPr>
        <w:snapToGrid w:val="0"/>
        <w:spacing w:line="360" w:lineRule="auto"/>
        <w:ind w:firstLineChars="200" w:firstLine="420"/>
        <w:rPr>
          <w:rFonts w:asciiTheme="minorEastAsia" w:eastAsiaTheme="minorEastAsia" w:hAnsiTheme="minorEastAsia" w:cs="Arial"/>
          <w:sz w:val="24"/>
        </w:rPr>
      </w:pPr>
      <w:bookmarkStart w:id="101" w:name="_Toc52310851"/>
      <w:bookmarkStart w:id="102" w:name="_Toc64861726"/>
      <w:r w:rsidRPr="00487553">
        <w:rPr>
          <w:rFonts w:asciiTheme="minorEastAsia" w:eastAsiaTheme="minorEastAsia" w:hAnsiTheme="minorEastAsia" w:hint="eastAsia"/>
          <w:szCs w:val="21"/>
        </w:rPr>
        <w:t>指数化投资具有低成本、管理透明及分散化程度高等优点，能稳定地获得与标的指数相近的回报。</w:t>
      </w:r>
      <w:r w:rsidR="00EB6740" w:rsidRPr="00487553">
        <w:rPr>
          <w:rFonts w:asciiTheme="minorEastAsia" w:eastAsiaTheme="minorEastAsia" w:hAnsiTheme="minorEastAsia" w:hint="eastAsia"/>
          <w:szCs w:val="21"/>
        </w:rPr>
        <w:t>本基金主要投资于</w:t>
      </w:r>
      <w:r w:rsidR="00064FA1" w:rsidRPr="00487553">
        <w:rPr>
          <w:rFonts w:asciiTheme="minorEastAsia" w:eastAsiaTheme="minorEastAsia" w:hAnsiTheme="minorEastAsia" w:hint="eastAsia"/>
          <w:szCs w:val="21"/>
        </w:rPr>
        <w:t>易方达</w:t>
      </w:r>
      <w:r w:rsidR="00EB6740" w:rsidRPr="00487553">
        <w:rPr>
          <w:rFonts w:asciiTheme="minorEastAsia" w:eastAsiaTheme="minorEastAsia" w:hAnsiTheme="minorEastAsia" w:hint="eastAsia"/>
          <w:szCs w:val="21"/>
        </w:rPr>
        <w:t>恒生中国企业ETF，为投资者提供一种投资恒生中国企业指数的有效工具。</w:t>
      </w:r>
    </w:p>
    <w:p w14:paraId="696DA546"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03" w:name="_Toc20148414"/>
      <w:r w:rsidRPr="00487553">
        <w:rPr>
          <w:rFonts w:asciiTheme="minorEastAsia" w:eastAsiaTheme="minorEastAsia" w:hAnsiTheme="minorEastAsia"/>
        </w:rPr>
        <w:t>投资策略</w:t>
      </w:r>
      <w:bookmarkEnd w:id="103"/>
    </w:p>
    <w:p w14:paraId="2E6A60EC" w14:textId="77777777" w:rsidR="005F74E4" w:rsidRPr="00487553" w:rsidRDefault="005F74E4" w:rsidP="00D94E68">
      <w:pPr>
        <w:snapToGrid w:val="0"/>
        <w:spacing w:line="360" w:lineRule="auto"/>
        <w:ind w:firstLineChars="200" w:firstLine="420"/>
        <w:rPr>
          <w:rFonts w:asciiTheme="minorEastAsia" w:eastAsiaTheme="minorEastAsia" w:hAnsiTheme="minorEastAsia"/>
          <w:szCs w:val="21"/>
        </w:rPr>
      </w:pPr>
      <w:bookmarkStart w:id="104" w:name="_Toc44900772"/>
      <w:bookmarkStart w:id="105" w:name="_Toc52616499"/>
      <w:bookmarkStart w:id="106" w:name="_Toc296440102"/>
      <w:r w:rsidRPr="00487553">
        <w:rPr>
          <w:rFonts w:asciiTheme="minorEastAsia" w:eastAsiaTheme="minorEastAsia" w:hAnsiTheme="minorEastAsia" w:hint="eastAsia"/>
          <w:szCs w:val="21"/>
        </w:rPr>
        <w:t>本基金为易方达恒生中国企业ETF的联接基金，主要通过投资于易方达恒生中国企业ETF实现对业绩比较基准的紧密跟踪。</w:t>
      </w:r>
    </w:p>
    <w:p w14:paraId="42150631" w14:textId="77777777" w:rsidR="005F74E4" w:rsidRPr="00487553" w:rsidRDefault="005F74E4"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在易方达恒生中国企业ETF上市前，本基金将通过特殊现金申购方式进行易方达恒生中国企业ETF的投资。在易方达恒生中国企业ETF上市后，本基金将在综合考虑合规、风险、效率、成本等因素的基础上，决定采用申赎的方式或证券二级市场交易的方式进行易方达恒生中国企业ETF的</w:t>
      </w:r>
      <w:r w:rsidR="00EB03A2" w:rsidRPr="00487553">
        <w:rPr>
          <w:rFonts w:asciiTheme="minorEastAsia" w:eastAsiaTheme="minorEastAsia" w:hAnsiTheme="minorEastAsia" w:hint="eastAsia"/>
          <w:szCs w:val="21"/>
        </w:rPr>
        <w:t>投资</w:t>
      </w:r>
      <w:r w:rsidRPr="00487553">
        <w:rPr>
          <w:rFonts w:asciiTheme="minorEastAsia" w:eastAsiaTheme="minorEastAsia" w:hAnsiTheme="minorEastAsia" w:hint="eastAsia"/>
          <w:szCs w:val="21"/>
        </w:rPr>
        <w:t>。</w:t>
      </w:r>
    </w:p>
    <w:p w14:paraId="3B9B5214" w14:textId="77777777" w:rsidR="005F74E4" w:rsidRPr="00487553" w:rsidRDefault="005F74E4"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为进行流动性管理、应付赎回、降低跟踪误差以及提高投资效率，本基金可投资恒生中国企业指数成份股及备选成份股、恒生中国企业指数期货或期权等金融衍生工具。</w:t>
      </w:r>
    </w:p>
    <w:p w14:paraId="50A89FA8" w14:textId="77777777" w:rsidR="00E44A46" w:rsidRPr="00487553" w:rsidRDefault="005F74E4"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本基金力争将年化跟踪误差控制在4%以内</w:t>
      </w:r>
      <w:r w:rsidR="00E44A46" w:rsidRPr="00487553">
        <w:rPr>
          <w:rFonts w:asciiTheme="minorEastAsia" w:eastAsiaTheme="minorEastAsia" w:hAnsiTheme="minorEastAsia" w:hint="eastAsia"/>
          <w:szCs w:val="21"/>
        </w:rPr>
        <w:t>。</w:t>
      </w:r>
    </w:p>
    <w:p w14:paraId="7001DA6D"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07" w:name="_Toc20148415"/>
      <w:bookmarkEnd w:id="104"/>
      <w:bookmarkEnd w:id="105"/>
      <w:bookmarkEnd w:id="106"/>
      <w:r w:rsidRPr="00487553">
        <w:rPr>
          <w:rFonts w:asciiTheme="minorEastAsia" w:eastAsiaTheme="minorEastAsia" w:hAnsiTheme="minorEastAsia"/>
        </w:rPr>
        <w:t>业绩比较基准</w:t>
      </w:r>
      <w:bookmarkEnd w:id="101"/>
      <w:bookmarkEnd w:id="102"/>
      <w:bookmarkEnd w:id="107"/>
    </w:p>
    <w:p w14:paraId="1225851B" w14:textId="77777777" w:rsidR="006B1BF3" w:rsidRPr="00487553" w:rsidRDefault="006B1BF3"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恒生中国企业指数（</w:t>
      </w:r>
      <w:r w:rsidRPr="00487553">
        <w:rPr>
          <w:rFonts w:asciiTheme="minorEastAsia" w:eastAsiaTheme="minorEastAsia" w:hAnsiTheme="minorEastAsia" w:hint="eastAsia"/>
          <w:kern w:val="0"/>
          <w:szCs w:val="21"/>
        </w:rPr>
        <w:t>使用估值汇率折算</w:t>
      </w:r>
      <w:r w:rsidRPr="00487553">
        <w:rPr>
          <w:rFonts w:asciiTheme="minorEastAsia" w:eastAsiaTheme="minorEastAsia" w:hAnsiTheme="minorEastAsia" w:hint="eastAsia"/>
          <w:szCs w:val="21"/>
        </w:rPr>
        <w:t>）收益率X95%+活期存款利率</w:t>
      </w:r>
      <w:r w:rsidR="00AC785D" w:rsidRPr="00487553">
        <w:rPr>
          <w:rFonts w:asciiTheme="minorEastAsia" w:eastAsiaTheme="minorEastAsia" w:hAnsiTheme="minorEastAsia" w:hint="eastAsia"/>
          <w:szCs w:val="21"/>
        </w:rPr>
        <w:t>（</w:t>
      </w:r>
      <w:r w:rsidRPr="00487553">
        <w:rPr>
          <w:rFonts w:asciiTheme="minorEastAsia" w:eastAsiaTheme="minorEastAsia" w:hAnsiTheme="minorEastAsia" w:hint="eastAsia"/>
          <w:szCs w:val="21"/>
        </w:rPr>
        <w:t>税后</w:t>
      </w:r>
      <w:r w:rsidR="00AC785D" w:rsidRPr="00487553">
        <w:rPr>
          <w:rFonts w:asciiTheme="minorEastAsia" w:eastAsiaTheme="minorEastAsia" w:hAnsiTheme="minorEastAsia" w:hint="eastAsia"/>
          <w:szCs w:val="21"/>
        </w:rPr>
        <w:t>）</w:t>
      </w:r>
      <w:r w:rsidRPr="00487553">
        <w:rPr>
          <w:rFonts w:asciiTheme="minorEastAsia" w:eastAsiaTheme="minorEastAsia" w:hAnsiTheme="minorEastAsia" w:hint="eastAsia"/>
          <w:szCs w:val="21"/>
        </w:rPr>
        <w:t>X5%</w:t>
      </w:r>
    </w:p>
    <w:p w14:paraId="447019E0" w14:textId="6A5D6997" w:rsidR="00862BE6" w:rsidRPr="00487553" w:rsidRDefault="006B1BF3" w:rsidP="00D94E68">
      <w:pPr>
        <w:widowControl/>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如果</w:t>
      </w:r>
      <w:r w:rsidRPr="00487553">
        <w:rPr>
          <w:rFonts w:asciiTheme="minorEastAsia" w:eastAsiaTheme="minorEastAsia" w:hAnsiTheme="minorEastAsia" w:hint="eastAsia"/>
          <w:szCs w:val="21"/>
        </w:rPr>
        <w:t>易方达恒生中国企业ETF变更标的指数或业绩比较基准、或恒生中国企业指数</w:t>
      </w:r>
      <w:r w:rsidRPr="00487553">
        <w:rPr>
          <w:rFonts w:asciiTheme="minorEastAsia" w:eastAsiaTheme="minorEastAsia" w:hAnsiTheme="minorEastAsia"/>
          <w:szCs w:val="21"/>
        </w:rPr>
        <w:t>编制单位变更或停止</w:t>
      </w:r>
      <w:r w:rsidRPr="00487553">
        <w:rPr>
          <w:rFonts w:asciiTheme="minorEastAsia" w:eastAsiaTheme="minorEastAsia" w:hAnsiTheme="minorEastAsia" w:hint="eastAsia"/>
          <w:szCs w:val="21"/>
        </w:rPr>
        <w:t>恒生中国企业指数</w:t>
      </w:r>
      <w:r w:rsidRPr="00487553">
        <w:rPr>
          <w:rFonts w:asciiTheme="minorEastAsia" w:eastAsiaTheme="minorEastAsia" w:hAnsiTheme="minorEastAsia"/>
          <w:szCs w:val="21"/>
        </w:rPr>
        <w:t>的编制及发布</w:t>
      </w:r>
      <w:r w:rsidRPr="00487553">
        <w:rPr>
          <w:rFonts w:asciiTheme="minorEastAsia" w:eastAsiaTheme="minorEastAsia" w:hAnsiTheme="minorEastAsia" w:hint="eastAsia"/>
          <w:szCs w:val="21"/>
        </w:rPr>
        <w:t>或授权</w:t>
      </w:r>
      <w:r w:rsidRPr="00487553">
        <w:rPr>
          <w:rFonts w:asciiTheme="minorEastAsia" w:eastAsiaTheme="minorEastAsia" w:hAnsiTheme="minorEastAsia"/>
          <w:szCs w:val="21"/>
        </w:rPr>
        <w:t>、或</w:t>
      </w:r>
      <w:r w:rsidRPr="00487553">
        <w:rPr>
          <w:rFonts w:asciiTheme="minorEastAsia" w:eastAsiaTheme="minorEastAsia" w:hAnsiTheme="minorEastAsia" w:hint="eastAsia"/>
          <w:szCs w:val="21"/>
        </w:rPr>
        <w:t>恒生中国企业指数</w:t>
      </w:r>
      <w:r w:rsidRPr="00487553">
        <w:rPr>
          <w:rFonts w:asciiTheme="minorEastAsia" w:eastAsiaTheme="minorEastAsia" w:hAnsiTheme="minorEastAsia"/>
          <w:szCs w:val="21"/>
        </w:rPr>
        <w:t>由其他指数替代、或</w:t>
      </w:r>
      <w:r w:rsidRPr="00487553">
        <w:rPr>
          <w:rFonts w:asciiTheme="minorEastAsia" w:eastAsiaTheme="minorEastAsia" w:hAnsiTheme="minorEastAsia" w:hint="eastAsia"/>
          <w:szCs w:val="21"/>
        </w:rPr>
        <w:t>恒生中国企业指数</w:t>
      </w:r>
      <w:r w:rsidRPr="00487553">
        <w:rPr>
          <w:rFonts w:asciiTheme="minorEastAsia" w:eastAsiaTheme="minorEastAsia" w:hAnsiTheme="minorEastAsia"/>
          <w:szCs w:val="21"/>
        </w:rPr>
        <w:t>编制方法</w:t>
      </w:r>
      <w:r w:rsidRPr="00487553">
        <w:rPr>
          <w:rFonts w:asciiTheme="minorEastAsia" w:eastAsiaTheme="minorEastAsia" w:hAnsiTheme="minorEastAsia" w:hint="eastAsia"/>
          <w:szCs w:val="21"/>
        </w:rPr>
        <w:t>发生</w:t>
      </w:r>
      <w:r w:rsidRPr="00487553">
        <w:rPr>
          <w:rFonts w:asciiTheme="minorEastAsia" w:eastAsiaTheme="minorEastAsia" w:hAnsiTheme="minorEastAsia"/>
          <w:szCs w:val="21"/>
        </w:rPr>
        <w:t>重大变更导致</w:t>
      </w:r>
      <w:r w:rsidRPr="00487553">
        <w:rPr>
          <w:rFonts w:asciiTheme="minorEastAsia" w:eastAsiaTheme="minorEastAsia" w:hAnsiTheme="minorEastAsia" w:hint="eastAsia"/>
          <w:szCs w:val="21"/>
        </w:rPr>
        <w:t>基金管理人认为该</w:t>
      </w:r>
      <w:r w:rsidRPr="00487553">
        <w:rPr>
          <w:rFonts w:asciiTheme="minorEastAsia" w:eastAsiaTheme="minorEastAsia" w:hAnsiTheme="minorEastAsia"/>
          <w:szCs w:val="21"/>
        </w:rPr>
        <w:t>指数不宜继续</w:t>
      </w:r>
      <w:r w:rsidRPr="00487553">
        <w:rPr>
          <w:rFonts w:asciiTheme="minorEastAsia" w:eastAsiaTheme="minorEastAsia" w:hAnsiTheme="minorEastAsia"/>
          <w:szCs w:val="21"/>
        </w:rPr>
        <w:lastRenderedPageBreak/>
        <w:t>作为</w:t>
      </w:r>
      <w:r w:rsidRPr="00487553">
        <w:rPr>
          <w:rFonts w:asciiTheme="minorEastAsia" w:eastAsiaTheme="minorEastAsia" w:hAnsiTheme="minorEastAsia" w:hint="eastAsia"/>
          <w:szCs w:val="21"/>
        </w:rPr>
        <w:t>业绩比较基准的组成部分，</w:t>
      </w:r>
      <w:r w:rsidRPr="00487553">
        <w:rPr>
          <w:rFonts w:asciiTheme="minorEastAsia" w:eastAsiaTheme="minorEastAsia" w:hAnsiTheme="minorEastAsia"/>
          <w:szCs w:val="21"/>
        </w:rPr>
        <w:t>本基金管理人可以依据维护投资者合法权益的原则，</w:t>
      </w:r>
      <w:r w:rsidRPr="00487553">
        <w:rPr>
          <w:rFonts w:asciiTheme="minorEastAsia" w:eastAsiaTheme="minorEastAsia" w:hAnsiTheme="minorEastAsia" w:hint="eastAsia"/>
          <w:szCs w:val="21"/>
        </w:rPr>
        <w:t>在履行适当程序后，变更本基金基金名称、调整</w:t>
      </w:r>
      <w:r w:rsidRPr="00487553">
        <w:rPr>
          <w:rFonts w:asciiTheme="minorEastAsia" w:eastAsiaTheme="minorEastAsia" w:hAnsiTheme="minorEastAsia"/>
          <w:szCs w:val="21"/>
        </w:rPr>
        <w:t>业绩比较基准并及时公告。</w:t>
      </w:r>
    </w:p>
    <w:p w14:paraId="1B9D81A4" w14:textId="77777777" w:rsidR="00481811" w:rsidRPr="00487553" w:rsidRDefault="00481811" w:rsidP="00D94E68">
      <w:pPr>
        <w:widowControl/>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恒生中国企业指数于</w:t>
      </w:r>
      <w:r w:rsidRPr="00487553">
        <w:rPr>
          <w:rFonts w:asciiTheme="minorEastAsia" w:eastAsiaTheme="minorEastAsia" w:hAnsiTheme="minorEastAsia"/>
          <w:szCs w:val="21"/>
        </w:rPr>
        <w:t>1994</w:t>
      </w:r>
      <w:r w:rsidRPr="00487553">
        <w:rPr>
          <w:rFonts w:asciiTheme="minorEastAsia" w:eastAsiaTheme="minorEastAsia" w:hAnsiTheme="minorEastAsia" w:hint="eastAsia"/>
          <w:szCs w:val="21"/>
        </w:rPr>
        <w:t>年</w:t>
      </w:r>
      <w:r w:rsidRPr="00487553">
        <w:rPr>
          <w:rFonts w:asciiTheme="minorEastAsia" w:eastAsiaTheme="minorEastAsia" w:hAnsiTheme="minorEastAsia"/>
          <w:szCs w:val="21"/>
        </w:rPr>
        <w:t>8</w:t>
      </w:r>
      <w:r w:rsidRPr="00487553">
        <w:rPr>
          <w:rFonts w:asciiTheme="minorEastAsia" w:eastAsiaTheme="minorEastAsia" w:hAnsiTheme="minorEastAsia" w:hint="eastAsia"/>
          <w:szCs w:val="21"/>
        </w:rPr>
        <w:t>月由恒生指数公司推出，</w:t>
      </w:r>
      <w:r w:rsidR="00EB4962" w:rsidRPr="00487553">
        <w:rPr>
          <w:rFonts w:asciiTheme="minorEastAsia" w:eastAsiaTheme="minorEastAsia" w:hAnsiTheme="minorEastAsia" w:hint="eastAsia"/>
          <w:szCs w:val="21"/>
        </w:rPr>
        <w:t>自2018年3月5日起</w:t>
      </w:r>
      <w:r w:rsidRPr="00487553">
        <w:rPr>
          <w:rFonts w:asciiTheme="minorEastAsia" w:eastAsiaTheme="minorEastAsia" w:hAnsiTheme="minorEastAsia" w:hint="eastAsia"/>
          <w:szCs w:val="21"/>
        </w:rPr>
        <w:t>成份股由市值最大、成交最活跃的</w:t>
      </w:r>
      <w:r w:rsidR="00EB4962" w:rsidRPr="00487553">
        <w:rPr>
          <w:rFonts w:asciiTheme="minorEastAsia" w:eastAsiaTheme="minorEastAsia" w:hAnsiTheme="minorEastAsia" w:hint="eastAsia"/>
          <w:szCs w:val="21"/>
        </w:rPr>
        <w:t>50只个股（含40只H股、10只红筹股/民营企业）</w:t>
      </w:r>
      <w:r w:rsidRPr="00487553">
        <w:rPr>
          <w:rFonts w:asciiTheme="minorEastAsia" w:eastAsiaTheme="minorEastAsia" w:hAnsiTheme="minorEastAsia" w:hint="eastAsia"/>
          <w:szCs w:val="21"/>
        </w:rPr>
        <w:t>组成，用于衡量在香港上市的</w:t>
      </w:r>
      <w:r w:rsidR="00EB4962" w:rsidRPr="00487553">
        <w:rPr>
          <w:rFonts w:asciiTheme="minorEastAsia" w:eastAsiaTheme="minorEastAsia" w:hAnsiTheme="minorEastAsia" w:hint="eastAsia"/>
          <w:szCs w:val="21"/>
        </w:rPr>
        <w:t>中国</w:t>
      </w:r>
      <w:r w:rsidRPr="00487553">
        <w:rPr>
          <w:rFonts w:asciiTheme="minorEastAsia" w:eastAsiaTheme="minorEastAsia" w:hAnsiTheme="minorEastAsia" w:hint="eastAsia"/>
          <w:szCs w:val="21"/>
        </w:rPr>
        <w:t>企业表现。该指数采取自由流通市值加权的方法，以充分考虑成份股的可投资性。同时，该指数每只成份股规定</w:t>
      </w:r>
      <w:r w:rsidRPr="00487553">
        <w:rPr>
          <w:rFonts w:asciiTheme="minorEastAsia" w:eastAsiaTheme="minorEastAsia" w:hAnsiTheme="minorEastAsia"/>
          <w:szCs w:val="21"/>
        </w:rPr>
        <w:t>10%</w:t>
      </w:r>
      <w:r w:rsidRPr="00487553">
        <w:rPr>
          <w:rFonts w:asciiTheme="minorEastAsia" w:eastAsiaTheme="minorEastAsia" w:hAnsiTheme="minorEastAsia" w:hint="eastAsia"/>
          <w:szCs w:val="21"/>
        </w:rPr>
        <w:t>的权重上限，避免个股权重过大。</w:t>
      </w:r>
    </w:p>
    <w:p w14:paraId="04832D33"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08" w:name="_Toc87269125"/>
      <w:bookmarkStart w:id="109" w:name="_Toc20148416"/>
      <w:bookmarkStart w:id="110" w:name="_Toc84149642"/>
      <w:r w:rsidRPr="00487553">
        <w:rPr>
          <w:rFonts w:asciiTheme="minorEastAsia" w:eastAsiaTheme="minorEastAsia" w:hAnsiTheme="minorEastAsia"/>
        </w:rPr>
        <w:t>风险收益特征</w:t>
      </w:r>
      <w:bookmarkEnd w:id="108"/>
      <w:bookmarkEnd w:id="109"/>
    </w:p>
    <w:bookmarkEnd w:id="110"/>
    <w:p w14:paraId="3769AEFB" w14:textId="77777777" w:rsidR="00727B0D" w:rsidRPr="00487553" w:rsidRDefault="00727B0D"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w:t>
      </w:r>
      <w:r w:rsidRPr="00487553">
        <w:rPr>
          <w:rFonts w:asciiTheme="minorEastAsia" w:eastAsiaTheme="minorEastAsia" w:hAnsiTheme="minorEastAsia"/>
          <w:szCs w:val="21"/>
        </w:rPr>
        <w:t>是</w:t>
      </w:r>
      <w:r w:rsidRPr="00487553">
        <w:rPr>
          <w:rFonts w:asciiTheme="minorEastAsia" w:eastAsiaTheme="minorEastAsia" w:hAnsiTheme="minorEastAsia" w:hint="eastAsia"/>
          <w:szCs w:val="21"/>
        </w:rPr>
        <w:t>ETF联接</w:t>
      </w:r>
      <w:r w:rsidRPr="00487553">
        <w:rPr>
          <w:rFonts w:asciiTheme="minorEastAsia" w:eastAsiaTheme="minorEastAsia" w:hAnsiTheme="minorEastAsia"/>
          <w:szCs w:val="21"/>
        </w:rPr>
        <w:t>基金，</w:t>
      </w:r>
      <w:r w:rsidRPr="00487553">
        <w:rPr>
          <w:rFonts w:asciiTheme="minorEastAsia" w:eastAsiaTheme="minorEastAsia" w:hAnsiTheme="minorEastAsia" w:hint="eastAsia"/>
          <w:szCs w:val="21"/>
        </w:rPr>
        <w:t>理论上其</w:t>
      </w:r>
      <w:r w:rsidRPr="00487553">
        <w:rPr>
          <w:rFonts w:asciiTheme="minorEastAsia" w:eastAsiaTheme="minorEastAsia" w:hAnsiTheme="minorEastAsia"/>
          <w:szCs w:val="21"/>
        </w:rPr>
        <w:t>风险</w:t>
      </w:r>
      <w:r w:rsidRPr="00487553">
        <w:rPr>
          <w:rFonts w:asciiTheme="minorEastAsia" w:eastAsiaTheme="minorEastAsia" w:hAnsiTheme="minorEastAsia" w:hint="eastAsia"/>
          <w:szCs w:val="21"/>
        </w:rPr>
        <w:t>收益水平高于混合型基金、债</w:t>
      </w:r>
      <w:r w:rsidRPr="00487553">
        <w:rPr>
          <w:rFonts w:asciiTheme="minorEastAsia" w:eastAsiaTheme="minorEastAsia" w:hAnsiTheme="minorEastAsia"/>
          <w:szCs w:val="21"/>
        </w:rPr>
        <w:t>券基金</w:t>
      </w:r>
      <w:r w:rsidRPr="00487553">
        <w:rPr>
          <w:rFonts w:asciiTheme="minorEastAsia" w:eastAsiaTheme="minorEastAsia" w:hAnsiTheme="minorEastAsia" w:hint="eastAsia"/>
          <w:szCs w:val="21"/>
        </w:rPr>
        <w:t>和</w:t>
      </w:r>
      <w:r w:rsidRPr="00487553">
        <w:rPr>
          <w:rFonts w:asciiTheme="minorEastAsia" w:eastAsiaTheme="minorEastAsia" w:hAnsiTheme="minorEastAsia"/>
          <w:szCs w:val="21"/>
        </w:rPr>
        <w:t>货币市场基金。</w:t>
      </w:r>
    </w:p>
    <w:p w14:paraId="6C6AA886" w14:textId="77777777" w:rsidR="00E44A46" w:rsidRPr="00487553" w:rsidRDefault="00727B0D"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本基金主要通过投资于</w:t>
      </w:r>
      <w:r w:rsidR="001F4757" w:rsidRPr="00487553">
        <w:rPr>
          <w:rFonts w:asciiTheme="minorEastAsia" w:eastAsiaTheme="minorEastAsia" w:hAnsiTheme="minorEastAsia" w:hint="eastAsia"/>
          <w:szCs w:val="21"/>
        </w:rPr>
        <w:t>易方达</w:t>
      </w:r>
      <w:r w:rsidRPr="00487553">
        <w:rPr>
          <w:rFonts w:asciiTheme="minorEastAsia" w:eastAsiaTheme="minorEastAsia" w:hAnsiTheme="minorEastAsia" w:hint="eastAsia"/>
          <w:szCs w:val="21"/>
        </w:rPr>
        <w:t>恒生中国企业ETF实现对业绩比较基准的紧密跟踪。因此，本基金的业绩表现与恒生中国企业指数的表现密切相关。此外，本基金通过主要投资于易方达恒生中国企业ETF间接投资于香港证券市场，需承担汇率风险以及境外市场的风险</w:t>
      </w:r>
      <w:r w:rsidR="00E44A46" w:rsidRPr="00487553">
        <w:rPr>
          <w:rFonts w:asciiTheme="minorEastAsia" w:eastAsiaTheme="minorEastAsia" w:hAnsiTheme="minorEastAsia" w:hint="eastAsia"/>
          <w:szCs w:val="21"/>
        </w:rPr>
        <w:t>。</w:t>
      </w:r>
    </w:p>
    <w:p w14:paraId="52D0189C"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11" w:name="_Toc52310852"/>
      <w:bookmarkStart w:id="112" w:name="_Toc64861727"/>
      <w:bookmarkStart w:id="113" w:name="_Toc20148417"/>
      <w:r w:rsidRPr="00487553">
        <w:rPr>
          <w:rFonts w:asciiTheme="minorEastAsia" w:eastAsiaTheme="minorEastAsia" w:hAnsiTheme="minorEastAsia"/>
        </w:rPr>
        <w:t>投资决策</w:t>
      </w:r>
      <w:bookmarkEnd w:id="111"/>
      <w:bookmarkEnd w:id="112"/>
      <w:r w:rsidRPr="00487553">
        <w:rPr>
          <w:rFonts w:asciiTheme="minorEastAsia" w:eastAsiaTheme="minorEastAsia" w:hAnsiTheme="minorEastAsia"/>
        </w:rPr>
        <w:t>依据与决策程序</w:t>
      </w:r>
      <w:bookmarkEnd w:id="113"/>
    </w:p>
    <w:p w14:paraId="144D034C" w14:textId="77777777" w:rsidR="00CD4196" w:rsidRPr="00487553" w:rsidRDefault="00D94E6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w:t>
      </w:r>
      <w:r w:rsidR="00CD4196" w:rsidRPr="00487553">
        <w:rPr>
          <w:rFonts w:asciiTheme="minorEastAsia" w:eastAsiaTheme="minorEastAsia" w:hAnsiTheme="minorEastAsia" w:hint="eastAsia"/>
          <w:bCs/>
          <w:szCs w:val="21"/>
        </w:rPr>
        <w:t>投资决策依据</w:t>
      </w:r>
    </w:p>
    <w:p w14:paraId="6984404A" w14:textId="77777777" w:rsidR="00CD4196" w:rsidRPr="00487553" w:rsidRDefault="00CD419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（1）法律、法规和《基金合同》的规定；</w:t>
      </w:r>
    </w:p>
    <w:p w14:paraId="11A3543E" w14:textId="77777777" w:rsidR="00CD4196" w:rsidRPr="00487553" w:rsidRDefault="00CD419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（2）对证券市场发展趋势的研究与判断。</w:t>
      </w:r>
    </w:p>
    <w:p w14:paraId="41E37D94" w14:textId="77777777" w:rsidR="00CD4196" w:rsidRPr="00487553" w:rsidRDefault="00CD4196"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w:t>
      </w:r>
      <w:r w:rsidR="00D94E68" w:rsidRPr="00487553">
        <w:rPr>
          <w:rFonts w:asciiTheme="minorEastAsia" w:eastAsiaTheme="minorEastAsia" w:hAnsiTheme="minorEastAsia" w:hint="eastAsia"/>
          <w:bCs/>
          <w:szCs w:val="21"/>
        </w:rPr>
        <w:t>、</w:t>
      </w:r>
      <w:r w:rsidRPr="00487553">
        <w:rPr>
          <w:rFonts w:asciiTheme="minorEastAsia" w:eastAsiaTheme="minorEastAsia" w:hAnsiTheme="minorEastAsia" w:hint="eastAsia"/>
          <w:bCs/>
          <w:szCs w:val="21"/>
        </w:rPr>
        <w:t>投资决策流程</w:t>
      </w:r>
    </w:p>
    <w:p w14:paraId="4F55734D" w14:textId="77777777" w:rsidR="005400D1" w:rsidRPr="00487553" w:rsidRDefault="00CD419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w:t>
      </w:r>
      <w:r w:rsidR="005400D1" w:rsidRPr="00487553">
        <w:rPr>
          <w:rFonts w:asciiTheme="minorEastAsia" w:eastAsiaTheme="minorEastAsia" w:hAnsiTheme="minorEastAsia" w:hint="eastAsia"/>
          <w:szCs w:val="21"/>
        </w:rPr>
        <w:t>基金经理制定资产配置计划，按照公司制度提交审议并实施；</w:t>
      </w:r>
    </w:p>
    <w:p w14:paraId="1C353754" w14:textId="77777777" w:rsidR="00CD4196" w:rsidRPr="00487553" w:rsidRDefault="00CD4196" w:rsidP="00D94E68">
      <w:pPr>
        <w:snapToGrid w:val="0"/>
        <w:spacing w:line="360" w:lineRule="auto"/>
        <w:rPr>
          <w:rFonts w:asciiTheme="minorEastAsia" w:eastAsiaTheme="minorEastAsia" w:hAnsiTheme="minorEastAsia"/>
          <w:szCs w:val="21"/>
        </w:rPr>
      </w:pPr>
    </w:p>
    <w:p w14:paraId="409849A3" w14:textId="77777777" w:rsidR="00CD4196" w:rsidRPr="00487553" w:rsidRDefault="00CD419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w:t>
      </w:r>
      <w:r w:rsidR="005400D1" w:rsidRPr="00487553">
        <w:rPr>
          <w:rFonts w:asciiTheme="minorEastAsia" w:eastAsiaTheme="minorEastAsia" w:hAnsiTheme="minorEastAsia" w:hint="eastAsia"/>
          <w:szCs w:val="21"/>
        </w:rPr>
        <w:t>2</w:t>
      </w:r>
      <w:r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基金经理</w:t>
      </w:r>
      <w:r w:rsidRPr="00487553">
        <w:rPr>
          <w:rFonts w:asciiTheme="minorEastAsia" w:eastAsiaTheme="minorEastAsia" w:hAnsiTheme="minorEastAsia" w:hint="eastAsia"/>
          <w:szCs w:val="21"/>
        </w:rPr>
        <w:t>采取申赎的方式或证券二级市场交易的方式进行易方达恒生中国企业ETF的</w:t>
      </w:r>
      <w:r w:rsidR="00D04477" w:rsidRPr="00487553">
        <w:rPr>
          <w:rFonts w:asciiTheme="minorEastAsia" w:eastAsiaTheme="minorEastAsia" w:hAnsiTheme="minorEastAsia" w:hint="eastAsia"/>
          <w:szCs w:val="21"/>
        </w:rPr>
        <w:t>投资</w:t>
      </w:r>
      <w:r w:rsidRPr="00487553">
        <w:rPr>
          <w:rFonts w:asciiTheme="minorEastAsia" w:eastAsiaTheme="minorEastAsia" w:hAnsiTheme="minorEastAsia" w:hint="eastAsia"/>
          <w:szCs w:val="21"/>
        </w:rPr>
        <w:t>；</w:t>
      </w:r>
    </w:p>
    <w:p w14:paraId="2D4DCDEE" w14:textId="77777777" w:rsidR="002A396A" w:rsidRPr="00487553" w:rsidRDefault="00CD419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w:t>
      </w:r>
      <w:r w:rsidR="005400D1" w:rsidRPr="00487553">
        <w:rPr>
          <w:rFonts w:asciiTheme="minorEastAsia" w:eastAsiaTheme="minorEastAsia" w:hAnsiTheme="minorEastAsia" w:hint="eastAsia"/>
          <w:szCs w:val="21"/>
        </w:rPr>
        <w:t>3</w:t>
      </w:r>
      <w:r w:rsidRPr="00487553">
        <w:rPr>
          <w:rFonts w:asciiTheme="minorEastAsia" w:eastAsiaTheme="minorEastAsia" w:hAnsiTheme="minorEastAsia" w:hint="eastAsia"/>
          <w:szCs w:val="21"/>
        </w:rPr>
        <w:t>）</w:t>
      </w:r>
      <w:r w:rsidR="009209B4" w:rsidRPr="00487553">
        <w:rPr>
          <w:rFonts w:asciiTheme="minorEastAsia" w:eastAsiaTheme="minorEastAsia" w:hAnsiTheme="minorEastAsia" w:hint="eastAsia"/>
          <w:szCs w:val="21"/>
        </w:rPr>
        <w:t>投资风险管理部定期</w:t>
      </w:r>
      <w:r w:rsidR="009209B4" w:rsidRPr="00487553">
        <w:rPr>
          <w:rFonts w:asciiTheme="minorEastAsia" w:eastAsiaTheme="minorEastAsia" w:hAnsiTheme="minorEastAsia"/>
          <w:szCs w:val="21"/>
        </w:rPr>
        <w:t>对投资组合</w:t>
      </w:r>
      <w:r w:rsidR="009209B4" w:rsidRPr="00487553">
        <w:rPr>
          <w:rFonts w:asciiTheme="minorEastAsia" w:eastAsiaTheme="minorEastAsia" w:hAnsiTheme="minorEastAsia" w:hint="eastAsia"/>
          <w:szCs w:val="21"/>
        </w:rPr>
        <w:t>的跟踪误差</w:t>
      </w:r>
      <w:r w:rsidR="009209B4" w:rsidRPr="00487553">
        <w:rPr>
          <w:rFonts w:asciiTheme="minorEastAsia" w:eastAsiaTheme="minorEastAsia" w:hAnsiTheme="minorEastAsia"/>
          <w:szCs w:val="21"/>
        </w:rPr>
        <w:t>进行</w:t>
      </w:r>
      <w:r w:rsidR="009209B4" w:rsidRPr="00487553">
        <w:rPr>
          <w:rFonts w:asciiTheme="minorEastAsia" w:eastAsiaTheme="minorEastAsia" w:hAnsiTheme="minorEastAsia" w:hint="eastAsia"/>
          <w:szCs w:val="21"/>
        </w:rPr>
        <w:t>量化</w:t>
      </w:r>
      <w:r w:rsidR="009209B4" w:rsidRPr="00487553">
        <w:rPr>
          <w:rFonts w:asciiTheme="minorEastAsia" w:eastAsiaTheme="minorEastAsia" w:hAnsiTheme="minorEastAsia"/>
          <w:szCs w:val="21"/>
        </w:rPr>
        <w:t>评估，</w:t>
      </w:r>
      <w:r w:rsidR="009209B4" w:rsidRPr="00487553">
        <w:rPr>
          <w:rFonts w:asciiTheme="minorEastAsia" w:eastAsiaTheme="minorEastAsia" w:hAnsiTheme="minorEastAsia" w:hint="eastAsia"/>
          <w:szCs w:val="21"/>
        </w:rPr>
        <w:t>提供基金经理参考</w:t>
      </w:r>
      <w:r w:rsidR="00C108F9" w:rsidRPr="00487553">
        <w:rPr>
          <w:rFonts w:asciiTheme="minorEastAsia" w:eastAsiaTheme="minorEastAsia" w:hAnsiTheme="minorEastAsia" w:hint="eastAsia"/>
          <w:szCs w:val="21"/>
        </w:rPr>
        <w:t>。</w:t>
      </w:r>
    </w:p>
    <w:p w14:paraId="1CE1E387" w14:textId="77777777" w:rsidR="00D94E68" w:rsidRPr="00487553" w:rsidRDefault="00EF128F"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14" w:name="_Toc308697423"/>
      <w:bookmarkStart w:id="115" w:name="_Toc309285946"/>
      <w:bookmarkStart w:id="116" w:name="_Toc308697424"/>
      <w:bookmarkStart w:id="117" w:name="_Toc309285947"/>
      <w:bookmarkStart w:id="118" w:name="_Toc308697425"/>
      <w:bookmarkStart w:id="119" w:name="_Toc309285948"/>
      <w:bookmarkStart w:id="120" w:name="_Toc308697426"/>
      <w:bookmarkStart w:id="121" w:name="_Toc309285949"/>
      <w:bookmarkStart w:id="122" w:name="_Toc308697427"/>
      <w:bookmarkStart w:id="123" w:name="_Toc309285950"/>
      <w:bookmarkStart w:id="124" w:name="_Toc308697428"/>
      <w:bookmarkStart w:id="125" w:name="_Toc309285951"/>
      <w:bookmarkStart w:id="126" w:name="_Toc308697429"/>
      <w:bookmarkStart w:id="127" w:name="_Toc309285952"/>
      <w:bookmarkStart w:id="128" w:name="_Toc308697430"/>
      <w:bookmarkStart w:id="129" w:name="_Toc309285953"/>
      <w:bookmarkStart w:id="130" w:name="_Toc308697431"/>
      <w:bookmarkStart w:id="131" w:name="_Toc309285954"/>
      <w:bookmarkStart w:id="132" w:name="_Toc308697432"/>
      <w:bookmarkStart w:id="133" w:name="_Toc309285955"/>
      <w:bookmarkStart w:id="134" w:name="_Toc308697433"/>
      <w:bookmarkStart w:id="135" w:name="_Toc309285956"/>
      <w:bookmarkStart w:id="136" w:name="_Toc308697434"/>
      <w:bookmarkStart w:id="137" w:name="_Toc309285957"/>
      <w:bookmarkStart w:id="138" w:name="_Toc308697435"/>
      <w:bookmarkStart w:id="139" w:name="_Toc309285958"/>
      <w:bookmarkStart w:id="140" w:name="_Toc308697436"/>
      <w:bookmarkStart w:id="141" w:name="_Toc309285959"/>
      <w:bookmarkStart w:id="142" w:name="_Toc308697437"/>
      <w:bookmarkStart w:id="143" w:name="_Toc309285960"/>
      <w:bookmarkStart w:id="144" w:name="_Toc308697438"/>
      <w:bookmarkStart w:id="145" w:name="_Toc309285961"/>
      <w:bookmarkStart w:id="146" w:name="_Toc308697439"/>
      <w:bookmarkStart w:id="147" w:name="_Toc309285962"/>
      <w:bookmarkStart w:id="148" w:name="_Toc308697441"/>
      <w:bookmarkStart w:id="149" w:name="_Toc309285964"/>
      <w:bookmarkStart w:id="150" w:name="_Toc308697443"/>
      <w:bookmarkStart w:id="151" w:name="_Toc309285966"/>
      <w:bookmarkStart w:id="152" w:name="_Toc2014841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87553">
        <w:rPr>
          <w:rFonts w:asciiTheme="minorEastAsia" w:eastAsiaTheme="minorEastAsia" w:hAnsiTheme="minorEastAsia"/>
        </w:rPr>
        <w:t>投资</w:t>
      </w:r>
      <w:r w:rsidR="00BA046C" w:rsidRPr="00487553">
        <w:rPr>
          <w:rFonts w:asciiTheme="minorEastAsia" w:eastAsiaTheme="minorEastAsia" w:hAnsiTheme="minorEastAsia"/>
        </w:rPr>
        <w:t>禁止</w:t>
      </w:r>
      <w:r w:rsidRPr="00487553">
        <w:rPr>
          <w:rFonts w:asciiTheme="minorEastAsia" w:eastAsiaTheme="minorEastAsia" w:hAnsiTheme="minorEastAsia"/>
        </w:rPr>
        <w:t>与限制</w:t>
      </w:r>
      <w:bookmarkEnd w:id="152"/>
    </w:p>
    <w:p w14:paraId="20E27123" w14:textId="77777777" w:rsidR="00B2050B" w:rsidRPr="00487553" w:rsidRDefault="00B2050B" w:rsidP="00D94E68">
      <w:pPr>
        <w:autoSpaceDE w:val="0"/>
        <w:autoSpaceDN w:val="0"/>
        <w:snapToGrid w:val="0"/>
        <w:spacing w:line="360" w:lineRule="auto"/>
        <w:ind w:firstLineChars="200" w:firstLine="420"/>
        <w:textAlignment w:val="bottom"/>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本基金在境外投资过程中应遵守合格境内机构投资者相关法律法规的规定。</w:t>
      </w:r>
    </w:p>
    <w:p w14:paraId="2A1AFCF2" w14:textId="77777777" w:rsidR="00C71563" w:rsidRPr="00487553" w:rsidRDefault="001C5C15" w:rsidP="00D94E68">
      <w:pPr>
        <w:autoSpaceDE w:val="0"/>
        <w:autoSpaceDN w:val="0"/>
        <w:snapToGrid w:val="0"/>
        <w:spacing w:line="360" w:lineRule="auto"/>
        <w:ind w:firstLineChars="200" w:firstLine="420"/>
        <w:textAlignment w:val="bottom"/>
        <w:rPr>
          <w:rFonts w:asciiTheme="minorEastAsia" w:eastAsiaTheme="minorEastAsia" w:hAnsiTheme="minorEastAsia" w:cs="Arial"/>
          <w:szCs w:val="21"/>
        </w:rPr>
      </w:pPr>
      <w:r w:rsidRPr="00487553">
        <w:rPr>
          <w:rFonts w:asciiTheme="minorEastAsia" w:eastAsiaTheme="minorEastAsia" w:hAnsiTheme="minorEastAsia" w:cs="Arial" w:hint="eastAsia"/>
          <w:szCs w:val="21"/>
        </w:rPr>
        <w:t>若法律法规或中国证监会的相关规定发生修改或变更，致使现行法律法规的投资禁止行为和投资组合比例限制被修改或取消，基金管理人在履行适当程序后，本基金可相应调整禁止行为和投资限制规定</w:t>
      </w:r>
      <w:r w:rsidR="00C71563" w:rsidRPr="00487553">
        <w:rPr>
          <w:rFonts w:asciiTheme="minorEastAsia" w:eastAsiaTheme="minorEastAsia" w:hAnsiTheme="minorEastAsia" w:cs="Arial" w:hint="eastAsia"/>
          <w:szCs w:val="21"/>
        </w:rPr>
        <w:t>。</w:t>
      </w:r>
    </w:p>
    <w:p w14:paraId="6866905A" w14:textId="77777777" w:rsidR="00C71563" w:rsidRPr="00487553" w:rsidRDefault="00A748B7" w:rsidP="00D94E68">
      <w:pPr>
        <w:autoSpaceDE w:val="0"/>
        <w:autoSpaceDN w:val="0"/>
        <w:snapToGrid w:val="0"/>
        <w:spacing w:line="360" w:lineRule="auto"/>
        <w:ind w:firstLineChars="200" w:firstLine="420"/>
        <w:textAlignment w:val="bottom"/>
        <w:rPr>
          <w:rFonts w:asciiTheme="minorEastAsia" w:eastAsiaTheme="minorEastAsia" w:hAnsiTheme="minorEastAsia" w:cs="Arial"/>
          <w:szCs w:val="21"/>
        </w:rPr>
      </w:pPr>
      <w:r w:rsidRPr="00487553">
        <w:rPr>
          <w:rFonts w:asciiTheme="minorEastAsia" w:eastAsiaTheme="minorEastAsia" w:hAnsiTheme="minorEastAsia" w:cs="Arial" w:hint="eastAsia"/>
          <w:szCs w:val="21"/>
        </w:rPr>
        <w:t>基金管理人应当自基金合同生效之日起6个月内使基金的投资组合比例符合基金合同的约定。若基金投资不符合基金合同约定的投资比例规定的，基金管理人应当在30个工作日内采用合理的商业措施进行调整。法律法规另有规定时，从其规定</w:t>
      </w:r>
      <w:r w:rsidR="00C71563" w:rsidRPr="00487553">
        <w:rPr>
          <w:rFonts w:asciiTheme="minorEastAsia" w:eastAsiaTheme="minorEastAsia" w:hAnsiTheme="minorEastAsia" w:cs="Arial" w:hint="eastAsia"/>
          <w:szCs w:val="21"/>
        </w:rPr>
        <w:t>。</w:t>
      </w:r>
    </w:p>
    <w:p w14:paraId="41BCAEA0" w14:textId="77777777" w:rsidR="00D94E68" w:rsidRPr="00487553" w:rsidRDefault="00790C77"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bCs/>
        </w:rPr>
      </w:pPr>
      <w:bookmarkStart w:id="153" w:name="_Toc20148419"/>
      <w:r w:rsidRPr="00487553">
        <w:rPr>
          <w:rFonts w:asciiTheme="minorEastAsia" w:eastAsiaTheme="minorEastAsia" w:hAnsiTheme="minorEastAsia" w:hint="eastAsia"/>
          <w:bCs/>
        </w:rPr>
        <w:t>基金的融资融券</w:t>
      </w:r>
      <w:bookmarkEnd w:id="153"/>
    </w:p>
    <w:p w14:paraId="7E841978" w14:textId="77777777" w:rsidR="00790C77" w:rsidRPr="00487553" w:rsidRDefault="00790C77" w:rsidP="00D94E68">
      <w:pPr>
        <w:autoSpaceDE w:val="0"/>
        <w:autoSpaceDN w:val="0"/>
        <w:snapToGrid w:val="0"/>
        <w:spacing w:line="360" w:lineRule="auto"/>
        <w:ind w:firstLineChars="200" w:firstLine="420"/>
        <w:textAlignment w:val="bottom"/>
        <w:rPr>
          <w:rFonts w:asciiTheme="minorEastAsia" w:eastAsiaTheme="minorEastAsia" w:hAnsiTheme="minorEastAsia" w:cs="Arial"/>
          <w:szCs w:val="21"/>
        </w:rPr>
      </w:pPr>
      <w:r w:rsidRPr="00487553">
        <w:rPr>
          <w:rFonts w:asciiTheme="minorEastAsia" w:eastAsiaTheme="minorEastAsia" w:hAnsiTheme="minorEastAsia" w:cs="Arial" w:hint="eastAsia"/>
          <w:szCs w:val="21"/>
        </w:rPr>
        <w:t>本基金可以根据届时有效的有关法律法规和政策的规定进行融资融券。</w:t>
      </w:r>
    </w:p>
    <w:p w14:paraId="2CD21FA2" w14:textId="77777777" w:rsidR="00D94E68" w:rsidRPr="00487553" w:rsidRDefault="00C71563"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54" w:name="_Toc20148420"/>
      <w:r w:rsidRPr="00487553">
        <w:rPr>
          <w:rFonts w:asciiTheme="minorEastAsia" w:eastAsiaTheme="minorEastAsia" w:hAnsiTheme="minorEastAsia" w:hint="eastAsia"/>
        </w:rPr>
        <w:lastRenderedPageBreak/>
        <w:t>基金管理人代表基金行使所投资证券产生权利的处理原则及方法</w:t>
      </w:r>
      <w:bookmarkEnd w:id="154"/>
    </w:p>
    <w:p w14:paraId="14145A41" w14:textId="77777777" w:rsidR="00C71563" w:rsidRPr="00487553" w:rsidRDefault="00C7156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1、不谋求对上市公司的控股，不参与所投资上市公司的经营管理；</w:t>
      </w:r>
    </w:p>
    <w:p w14:paraId="6BD71F44" w14:textId="77777777" w:rsidR="00C71563" w:rsidRPr="00487553" w:rsidRDefault="00C7156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2、有利于基金资产的安全与增值；</w:t>
      </w:r>
    </w:p>
    <w:p w14:paraId="36D761A0" w14:textId="77777777" w:rsidR="00C71563" w:rsidRPr="00487553" w:rsidRDefault="00C7156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3、基金管理人按照国家有关规定代表基金独立行使所投资证券权利，保护基金份额持有人的利益。</w:t>
      </w:r>
    </w:p>
    <w:p w14:paraId="7FC8FC94"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55" w:name="_Toc20148421"/>
      <w:r w:rsidRPr="00487553">
        <w:rPr>
          <w:rFonts w:asciiTheme="minorEastAsia" w:eastAsiaTheme="minorEastAsia" w:hAnsiTheme="minorEastAsia"/>
        </w:rPr>
        <w:t>衍生品投资的风险管理与决策流程</w:t>
      </w:r>
      <w:bookmarkEnd w:id="155"/>
    </w:p>
    <w:p w14:paraId="5C8EC894" w14:textId="77777777" w:rsidR="0064594E" w:rsidRPr="00487553" w:rsidRDefault="0064594E" w:rsidP="00D94E68">
      <w:pPr>
        <w:numPr>
          <w:ilvl w:val="0"/>
          <w:numId w:val="18"/>
        </w:numPr>
        <w:tabs>
          <w:tab w:val="clear" w:pos="1980"/>
          <w:tab w:val="num" w:pos="1134"/>
        </w:tabs>
        <w:snapToGrid w:val="0"/>
        <w:spacing w:line="360" w:lineRule="auto"/>
        <w:ind w:leftChars="200" w:left="840" w:hangingChars="200" w:hanging="420"/>
        <w:rPr>
          <w:rFonts w:asciiTheme="minorEastAsia" w:eastAsiaTheme="minorEastAsia" w:hAnsiTheme="minorEastAsia"/>
        </w:rPr>
      </w:pPr>
      <w:r w:rsidRPr="00487553">
        <w:rPr>
          <w:rFonts w:asciiTheme="minorEastAsia" w:eastAsiaTheme="minorEastAsia" w:hAnsiTheme="minorEastAsia"/>
        </w:rPr>
        <w:t>投资衍生品的风险管理</w:t>
      </w:r>
    </w:p>
    <w:p w14:paraId="6CB1B7B2" w14:textId="77777777" w:rsidR="0064594E" w:rsidRPr="00487553" w:rsidRDefault="0064594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金融衍生品的投资过程，同时也是风险管理的过程。在金融衍生品的投资业务中，包括</w:t>
      </w:r>
      <w:r w:rsidR="0070412A" w:rsidRPr="00487553">
        <w:rPr>
          <w:rFonts w:asciiTheme="minorEastAsia" w:eastAsiaTheme="minorEastAsia" w:hAnsiTheme="minorEastAsia" w:hint="eastAsia"/>
        </w:rPr>
        <w:t>“</w:t>
      </w:r>
      <w:r w:rsidRPr="00487553">
        <w:rPr>
          <w:rFonts w:asciiTheme="minorEastAsia" w:eastAsiaTheme="minorEastAsia" w:hAnsiTheme="minorEastAsia"/>
        </w:rPr>
        <w:t>事前的风险定位、事中的风险管理和事后的风险评估</w:t>
      </w:r>
      <w:r w:rsidR="0070412A" w:rsidRPr="00487553">
        <w:rPr>
          <w:rFonts w:asciiTheme="minorEastAsia" w:eastAsiaTheme="minorEastAsia" w:hAnsiTheme="minorEastAsia" w:hint="eastAsia"/>
        </w:rPr>
        <w:t>”</w:t>
      </w:r>
      <w:r w:rsidRPr="00487553">
        <w:rPr>
          <w:rFonts w:asciiTheme="minorEastAsia" w:eastAsiaTheme="minorEastAsia" w:hAnsiTheme="minorEastAsia"/>
        </w:rPr>
        <w:t>的全过程、多角度、全方位的风险监控体系。</w:t>
      </w:r>
    </w:p>
    <w:p w14:paraId="78E11103" w14:textId="77777777" w:rsidR="003B4742" w:rsidRPr="00487553" w:rsidRDefault="0064594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事前风险控制：投资决策前，投资研究人员必须对所运用的金融衍生</w:t>
      </w:r>
      <w:r w:rsidR="00F963AE" w:rsidRPr="00487553">
        <w:rPr>
          <w:rFonts w:asciiTheme="minorEastAsia" w:eastAsiaTheme="minorEastAsia" w:hAnsiTheme="minorEastAsia"/>
        </w:rPr>
        <w:t>品</w:t>
      </w:r>
      <w:r w:rsidRPr="00487553">
        <w:rPr>
          <w:rFonts w:asciiTheme="minorEastAsia" w:eastAsiaTheme="minorEastAsia" w:hAnsiTheme="minorEastAsia"/>
        </w:rPr>
        <w:t>的</w:t>
      </w:r>
      <w:r w:rsidR="00F963AE" w:rsidRPr="00487553">
        <w:rPr>
          <w:rFonts w:asciiTheme="minorEastAsia" w:eastAsiaTheme="minorEastAsia" w:hAnsiTheme="minorEastAsia"/>
        </w:rPr>
        <w:t>原理、</w:t>
      </w:r>
      <w:r w:rsidRPr="00487553">
        <w:rPr>
          <w:rFonts w:asciiTheme="minorEastAsia" w:eastAsiaTheme="minorEastAsia" w:hAnsiTheme="minorEastAsia"/>
        </w:rPr>
        <w:t>特性、</w:t>
      </w:r>
      <w:r w:rsidR="00F963AE" w:rsidRPr="00487553">
        <w:rPr>
          <w:rFonts w:asciiTheme="minorEastAsia" w:eastAsiaTheme="minorEastAsia" w:hAnsiTheme="minorEastAsia"/>
        </w:rPr>
        <w:t>运作机制</w:t>
      </w:r>
      <w:r w:rsidRPr="00487553">
        <w:rPr>
          <w:rFonts w:asciiTheme="minorEastAsia" w:eastAsiaTheme="minorEastAsia" w:hAnsiTheme="minorEastAsia"/>
        </w:rPr>
        <w:t>、风险有深入的研究和分析。对拟投资方案可能蕴含的风险进行充分评估，</w:t>
      </w:r>
      <w:r w:rsidR="00F963AE" w:rsidRPr="00487553">
        <w:rPr>
          <w:rFonts w:asciiTheme="minorEastAsia" w:eastAsiaTheme="minorEastAsia" w:hAnsiTheme="minorEastAsia"/>
        </w:rPr>
        <w:t>并进行必要的情形分析和压力测试。</w:t>
      </w:r>
      <w:r w:rsidR="003B4742" w:rsidRPr="00487553">
        <w:rPr>
          <w:rFonts w:asciiTheme="minorEastAsia" w:eastAsiaTheme="minorEastAsia" w:hAnsiTheme="minorEastAsia" w:hint="eastAsia"/>
        </w:rPr>
        <w:t>金融衍生品的投资方案经审批后方可执行。</w:t>
      </w:r>
    </w:p>
    <w:p w14:paraId="6D5688E9" w14:textId="77777777" w:rsidR="0064594E" w:rsidRPr="00487553" w:rsidRDefault="0064594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事中风险控制：衍生品</w:t>
      </w:r>
      <w:r w:rsidR="0063753E" w:rsidRPr="00487553">
        <w:rPr>
          <w:rFonts w:asciiTheme="minorEastAsia" w:eastAsiaTheme="minorEastAsia" w:hAnsiTheme="minorEastAsia"/>
        </w:rPr>
        <w:t>研究</w:t>
      </w:r>
      <w:r w:rsidR="00CB1270" w:rsidRPr="00487553">
        <w:rPr>
          <w:rFonts w:asciiTheme="minorEastAsia" w:eastAsiaTheme="minorEastAsia" w:hAnsiTheme="minorEastAsia" w:hint="eastAsia"/>
        </w:rPr>
        <w:t>员</w:t>
      </w:r>
      <w:r w:rsidRPr="00487553">
        <w:rPr>
          <w:rFonts w:asciiTheme="minorEastAsia" w:eastAsiaTheme="minorEastAsia" w:hAnsiTheme="minorEastAsia"/>
        </w:rPr>
        <w:t>对交易对手的信用评级进行跟踪，防范信用风险的发生</w:t>
      </w:r>
      <w:r w:rsidR="00341234" w:rsidRPr="00487553">
        <w:rPr>
          <w:rFonts w:asciiTheme="minorEastAsia" w:eastAsiaTheme="minorEastAsia" w:hAnsiTheme="minorEastAsia"/>
        </w:rPr>
        <w:t>，</w:t>
      </w:r>
      <w:r w:rsidRPr="00487553">
        <w:rPr>
          <w:rFonts w:asciiTheme="minorEastAsia" w:eastAsiaTheme="minorEastAsia" w:hAnsiTheme="minorEastAsia"/>
        </w:rPr>
        <w:t>并利用现代金融工程的手段对组合进行风险评估。基金经理或衍生品</w:t>
      </w:r>
      <w:r w:rsidR="0063753E" w:rsidRPr="00487553">
        <w:rPr>
          <w:rFonts w:asciiTheme="minorEastAsia" w:eastAsiaTheme="minorEastAsia" w:hAnsiTheme="minorEastAsia"/>
        </w:rPr>
        <w:t>研究</w:t>
      </w:r>
      <w:r w:rsidR="00CB1270" w:rsidRPr="00487553">
        <w:rPr>
          <w:rFonts w:asciiTheme="minorEastAsia" w:eastAsiaTheme="minorEastAsia" w:hAnsiTheme="minorEastAsia" w:hint="eastAsia"/>
        </w:rPr>
        <w:t>员</w:t>
      </w:r>
      <w:r w:rsidRPr="00487553">
        <w:rPr>
          <w:rFonts w:asciiTheme="minorEastAsia" w:eastAsiaTheme="minorEastAsia" w:hAnsiTheme="minorEastAsia"/>
        </w:rPr>
        <w:t>对衍生品头寸以及风险敞口进行监控，一旦衍生品的亏损超过投资方案防范的目标，</w:t>
      </w:r>
      <w:r w:rsidR="003B4742" w:rsidRPr="00487553">
        <w:rPr>
          <w:rFonts w:asciiTheme="minorEastAsia" w:eastAsiaTheme="minorEastAsia" w:hAnsiTheme="minorEastAsia" w:hint="eastAsia"/>
        </w:rPr>
        <w:t>应按制度进行汇报，并</w:t>
      </w:r>
      <w:r w:rsidRPr="00487553">
        <w:rPr>
          <w:rFonts w:asciiTheme="minorEastAsia" w:eastAsiaTheme="minorEastAsia" w:hAnsiTheme="minorEastAsia"/>
        </w:rPr>
        <w:t>考虑采取强制平仓等措施以避免出现严重的风险事件。</w:t>
      </w:r>
    </w:p>
    <w:p w14:paraId="2BCF5758" w14:textId="77777777" w:rsidR="0064594E" w:rsidRPr="00487553" w:rsidRDefault="0064594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事后风险控制：基金经理或衍生品</w:t>
      </w:r>
      <w:r w:rsidR="0063753E" w:rsidRPr="00487553">
        <w:rPr>
          <w:rFonts w:asciiTheme="minorEastAsia" w:eastAsiaTheme="minorEastAsia" w:hAnsiTheme="minorEastAsia"/>
        </w:rPr>
        <w:t>研究</w:t>
      </w:r>
      <w:r w:rsidR="00CB1270" w:rsidRPr="00487553">
        <w:rPr>
          <w:rFonts w:asciiTheme="minorEastAsia" w:eastAsiaTheme="minorEastAsia" w:hAnsiTheme="minorEastAsia" w:hint="eastAsia"/>
        </w:rPr>
        <w:t>员</w:t>
      </w:r>
      <w:r w:rsidRPr="00487553">
        <w:rPr>
          <w:rFonts w:asciiTheme="minorEastAsia" w:eastAsiaTheme="minorEastAsia" w:hAnsiTheme="minorEastAsia"/>
        </w:rPr>
        <w:t>定期对基金的衍生品交易策略、运作情况做投资回顾分析和风险评估，识别内部控制中的弱点和系统中的不足，提供改进的建议；定期评估、审定和改进风险管理政策。</w:t>
      </w:r>
    </w:p>
    <w:p w14:paraId="4C5698D2" w14:textId="77777777" w:rsidR="0064594E" w:rsidRPr="00487553" w:rsidRDefault="0064594E" w:rsidP="00D94E68">
      <w:pPr>
        <w:numPr>
          <w:ilvl w:val="0"/>
          <w:numId w:val="18"/>
        </w:numPr>
        <w:tabs>
          <w:tab w:val="clear" w:pos="1980"/>
          <w:tab w:val="num" w:pos="1134"/>
        </w:tabs>
        <w:snapToGrid w:val="0"/>
        <w:spacing w:line="360" w:lineRule="auto"/>
        <w:ind w:leftChars="200" w:left="840" w:hangingChars="200" w:hanging="420"/>
        <w:rPr>
          <w:rFonts w:asciiTheme="minorEastAsia" w:eastAsiaTheme="minorEastAsia" w:hAnsiTheme="minorEastAsia"/>
        </w:rPr>
      </w:pPr>
      <w:r w:rsidRPr="00487553">
        <w:rPr>
          <w:rFonts w:asciiTheme="minorEastAsia" w:eastAsiaTheme="minorEastAsia" w:hAnsiTheme="minorEastAsia"/>
        </w:rPr>
        <w:t>投资衍生品的决策流程</w:t>
      </w:r>
    </w:p>
    <w:p w14:paraId="31317F90" w14:textId="77777777" w:rsidR="003B4742" w:rsidRPr="00487553" w:rsidRDefault="00D94E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w:t>
      </w:r>
      <w:r w:rsidR="003B4742" w:rsidRPr="00487553">
        <w:rPr>
          <w:rFonts w:asciiTheme="minorEastAsia" w:eastAsiaTheme="minorEastAsia" w:hAnsiTheme="minorEastAsia" w:hint="eastAsia"/>
        </w:rPr>
        <w:t>基金经理在内外部研究的支持下，本着组合避险和有效管理的策略原则，提出衍生品投资需求及相关报告，并按照公司制度提交审议。审批通过后，基金经理将投资指令提交集中交易室执行。</w:t>
      </w:r>
    </w:p>
    <w:p w14:paraId="52F797E5" w14:textId="77777777" w:rsidR="003B4742" w:rsidRPr="00487553" w:rsidRDefault="00D94E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w:t>
      </w:r>
      <w:r w:rsidR="003B4742" w:rsidRPr="00487553">
        <w:rPr>
          <w:rFonts w:asciiTheme="minorEastAsia" w:eastAsiaTheme="minorEastAsia" w:hAnsiTheme="minorEastAsia" w:hint="eastAsia"/>
        </w:rPr>
        <w:t>基金经理对衍生品的投资运作情况进行回顾和评估检讨。</w:t>
      </w:r>
    </w:p>
    <w:p w14:paraId="7F8B0B32"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56" w:name="_Toc308697448"/>
      <w:bookmarkStart w:id="157" w:name="_Toc309285971"/>
      <w:bookmarkStart w:id="158" w:name="_Toc308697449"/>
      <w:bookmarkStart w:id="159" w:name="_Toc309285972"/>
      <w:bookmarkStart w:id="160" w:name="_Toc308697450"/>
      <w:bookmarkStart w:id="161" w:name="_Toc309285973"/>
      <w:bookmarkStart w:id="162" w:name="_Toc308697451"/>
      <w:bookmarkStart w:id="163" w:name="_Toc309285974"/>
      <w:bookmarkStart w:id="164" w:name="_Toc308697452"/>
      <w:bookmarkStart w:id="165" w:name="_Toc309285975"/>
      <w:bookmarkStart w:id="166" w:name="_Toc308697453"/>
      <w:bookmarkStart w:id="167" w:name="_Toc309285976"/>
      <w:bookmarkStart w:id="168" w:name="_Toc308697454"/>
      <w:bookmarkStart w:id="169" w:name="_Toc309285977"/>
      <w:bookmarkStart w:id="170" w:name="_Toc308697455"/>
      <w:bookmarkStart w:id="171" w:name="_Toc309285978"/>
      <w:bookmarkStart w:id="172" w:name="_Toc308697456"/>
      <w:bookmarkStart w:id="173" w:name="_Toc309285979"/>
      <w:bookmarkStart w:id="174" w:name="_Toc308697457"/>
      <w:bookmarkStart w:id="175" w:name="_Toc309285980"/>
      <w:bookmarkStart w:id="176" w:name="_Toc308697458"/>
      <w:bookmarkStart w:id="177" w:name="_Toc309285981"/>
      <w:bookmarkStart w:id="178" w:name="_Toc308697459"/>
      <w:bookmarkStart w:id="179" w:name="_Toc309285982"/>
      <w:bookmarkStart w:id="180" w:name="_Toc308697460"/>
      <w:bookmarkStart w:id="181" w:name="_Toc309285983"/>
      <w:bookmarkStart w:id="182" w:name="_Toc2014842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87553">
        <w:rPr>
          <w:rFonts w:asciiTheme="minorEastAsia" w:eastAsiaTheme="minorEastAsia" w:hAnsiTheme="minorEastAsia"/>
        </w:rPr>
        <w:t>代理投票</w:t>
      </w:r>
      <w:bookmarkEnd w:id="182"/>
    </w:p>
    <w:p w14:paraId="143989A8" w14:textId="77777777" w:rsidR="007D677F" w:rsidRPr="00487553" w:rsidRDefault="00247224" w:rsidP="00D94E68">
      <w:pPr>
        <w:snapToGrid w:val="0"/>
        <w:spacing w:line="360" w:lineRule="auto"/>
        <w:ind w:firstLineChars="200" w:firstLine="420"/>
        <w:rPr>
          <w:rFonts w:asciiTheme="minorEastAsia" w:eastAsiaTheme="minorEastAsia" w:hAnsiTheme="minorEastAsia"/>
        </w:rPr>
      </w:pPr>
      <w:bookmarkStart w:id="183" w:name="_Toc296440114"/>
      <w:r w:rsidRPr="00487553">
        <w:rPr>
          <w:rFonts w:asciiTheme="minorEastAsia" w:eastAsiaTheme="minorEastAsia" w:hAnsiTheme="minorEastAsia" w:hint="eastAsia"/>
        </w:rPr>
        <w:t>1、</w:t>
      </w:r>
      <w:r w:rsidR="007D677F" w:rsidRPr="00487553">
        <w:rPr>
          <w:rFonts w:asciiTheme="minorEastAsia" w:eastAsiaTheme="minorEastAsia" w:hAnsiTheme="minorEastAsia"/>
        </w:rPr>
        <w:t>基金管理人行使代理投票权应遵循基金</w:t>
      </w:r>
      <w:r w:rsidR="001B3D1F" w:rsidRPr="00487553">
        <w:rPr>
          <w:rFonts w:asciiTheme="minorEastAsia" w:eastAsiaTheme="minorEastAsia" w:hAnsiTheme="minorEastAsia"/>
        </w:rPr>
        <w:t>份额</w:t>
      </w:r>
      <w:r w:rsidR="007D677F" w:rsidRPr="00487553">
        <w:rPr>
          <w:rFonts w:asciiTheme="minorEastAsia" w:eastAsiaTheme="minorEastAsia" w:hAnsiTheme="minorEastAsia"/>
        </w:rPr>
        <w:t>持有人利益最大化的原则。</w:t>
      </w:r>
      <w:bookmarkEnd w:id="183"/>
    </w:p>
    <w:p w14:paraId="7E62BBAF" w14:textId="77777777" w:rsidR="007D677F" w:rsidRPr="00487553" w:rsidRDefault="00247224" w:rsidP="00D94E68">
      <w:pPr>
        <w:snapToGrid w:val="0"/>
        <w:spacing w:line="360" w:lineRule="auto"/>
        <w:ind w:firstLineChars="200" w:firstLine="420"/>
        <w:rPr>
          <w:rFonts w:asciiTheme="minorEastAsia" w:eastAsiaTheme="minorEastAsia" w:hAnsiTheme="minorEastAsia"/>
        </w:rPr>
      </w:pPr>
      <w:bookmarkStart w:id="184" w:name="_Toc296440115"/>
      <w:r w:rsidRPr="00487553">
        <w:rPr>
          <w:rFonts w:asciiTheme="minorEastAsia" w:eastAsiaTheme="minorEastAsia" w:hAnsiTheme="minorEastAsia" w:hint="eastAsia"/>
        </w:rPr>
        <w:t>2、</w:t>
      </w:r>
      <w:r w:rsidR="007D677F" w:rsidRPr="00487553">
        <w:rPr>
          <w:rFonts w:asciiTheme="minorEastAsia" w:eastAsiaTheme="minorEastAsia" w:hAnsiTheme="minorEastAsia"/>
        </w:rPr>
        <w:t>行使代理投票权应考虑不同地区市场上适用的法律或监管要求、公司治理标准、披露实务操作等存在的差异，充分研究提案的合理性，并综合考虑投资顾问、独立第三方研究机构等的意见后，选择合适的方式行使投票权。本着基金投资者利益最大化的原则，对持股比例较小或审议非重要事项、支付较高费用等情况时，基金管理人可以选择不参与上市公司的投票。</w:t>
      </w:r>
      <w:bookmarkEnd w:id="184"/>
    </w:p>
    <w:p w14:paraId="2CC7179F" w14:textId="77777777" w:rsidR="007D677F" w:rsidRPr="00487553" w:rsidRDefault="00247224" w:rsidP="00D94E68">
      <w:pPr>
        <w:snapToGrid w:val="0"/>
        <w:spacing w:line="360" w:lineRule="auto"/>
        <w:ind w:firstLineChars="200" w:firstLine="420"/>
        <w:rPr>
          <w:rFonts w:asciiTheme="minorEastAsia" w:eastAsiaTheme="minorEastAsia" w:hAnsiTheme="minorEastAsia"/>
        </w:rPr>
      </w:pPr>
      <w:bookmarkStart w:id="185" w:name="_Toc296440116"/>
      <w:r w:rsidRPr="00487553">
        <w:rPr>
          <w:rFonts w:asciiTheme="minorEastAsia" w:eastAsiaTheme="minorEastAsia" w:hAnsiTheme="minorEastAsia" w:hint="eastAsia"/>
        </w:rPr>
        <w:lastRenderedPageBreak/>
        <w:t>3、</w:t>
      </w:r>
      <w:r w:rsidR="007D677F" w:rsidRPr="00487553">
        <w:rPr>
          <w:rFonts w:asciiTheme="minorEastAsia" w:eastAsiaTheme="minorEastAsia" w:hAnsiTheme="minorEastAsia"/>
        </w:rPr>
        <w:t>代理投票权的执行，可选择实地投票、通过交易经纪商系统投票、委托境外投资顾问、托管人或第三方代理投票机构投票等方式。</w:t>
      </w:r>
      <w:bookmarkEnd w:id="185"/>
    </w:p>
    <w:p w14:paraId="6CE1E9BA" w14:textId="77777777" w:rsidR="0064594E" w:rsidRPr="00487553" w:rsidRDefault="00247224" w:rsidP="00D94E68">
      <w:pPr>
        <w:snapToGrid w:val="0"/>
        <w:spacing w:line="360" w:lineRule="auto"/>
        <w:ind w:firstLineChars="200" w:firstLine="420"/>
        <w:rPr>
          <w:rFonts w:asciiTheme="minorEastAsia" w:eastAsiaTheme="minorEastAsia" w:hAnsiTheme="minorEastAsia"/>
        </w:rPr>
      </w:pPr>
      <w:bookmarkStart w:id="186" w:name="_Toc296440117"/>
      <w:r w:rsidRPr="00487553">
        <w:rPr>
          <w:rFonts w:asciiTheme="minorEastAsia" w:eastAsiaTheme="minorEastAsia" w:hAnsiTheme="minorEastAsia" w:hint="eastAsia"/>
        </w:rPr>
        <w:t>4、</w:t>
      </w:r>
      <w:r w:rsidR="007D677F" w:rsidRPr="00487553">
        <w:rPr>
          <w:rFonts w:asciiTheme="minorEastAsia" w:eastAsiaTheme="minorEastAsia" w:hAnsiTheme="minorEastAsia"/>
        </w:rPr>
        <w:t>基金管理人应保留投票记录。</w:t>
      </w:r>
      <w:bookmarkEnd w:id="186"/>
    </w:p>
    <w:p w14:paraId="31D082E7" w14:textId="77777777" w:rsidR="00D94E68" w:rsidRPr="00487553" w:rsidRDefault="0064594E" w:rsidP="001016DC">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187" w:name="_Toc20148423"/>
      <w:bookmarkStart w:id="188" w:name="OLE_LINK3"/>
      <w:r w:rsidRPr="00487553">
        <w:rPr>
          <w:rFonts w:asciiTheme="minorEastAsia" w:eastAsiaTheme="minorEastAsia" w:hAnsiTheme="minorEastAsia"/>
        </w:rPr>
        <w:t>证券交易管理</w:t>
      </w:r>
      <w:bookmarkEnd w:id="187"/>
    </w:p>
    <w:p w14:paraId="273A94FD"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w:t>
      </w:r>
      <w:r w:rsidR="007D677F" w:rsidRPr="00487553">
        <w:rPr>
          <w:rFonts w:asciiTheme="minorEastAsia" w:eastAsiaTheme="minorEastAsia" w:hAnsiTheme="minorEastAsia"/>
        </w:rPr>
        <w:t>基金管理人挑选证券经纪商主要考虑的因素包括：交易执行能力、研究报告质量、提供研究服务质量、法规监管资讯服务以及价值贡献等方面。</w:t>
      </w:r>
    </w:p>
    <w:p w14:paraId="0D7262D0" w14:textId="77777777" w:rsidR="00B83016"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w:t>
      </w:r>
      <w:r w:rsidR="00B83016" w:rsidRPr="00487553">
        <w:rPr>
          <w:rFonts w:asciiTheme="minorEastAsia" w:eastAsiaTheme="minorEastAsia" w:hAnsiTheme="minorEastAsia"/>
        </w:rPr>
        <w:t>交易执行能力。主要指券商是否能够对投资指令进行有效的执行，以及能否取得较高质量的成交结果。衡量交易执行能力的指标主要有：是否完成交易、成交的及时性、成交价格、对市场的影响等；</w:t>
      </w:r>
    </w:p>
    <w:p w14:paraId="7845822D"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w:t>
      </w:r>
      <w:r w:rsidR="007D677F" w:rsidRPr="00487553">
        <w:rPr>
          <w:rFonts w:asciiTheme="minorEastAsia" w:eastAsiaTheme="minorEastAsia" w:hAnsiTheme="minorEastAsia"/>
        </w:rPr>
        <w:t>研究报告的质量。主要是指券商能否提供高质量的宏观经济研究、行业研究及市场走向、个股分析报告和专题研究报告，报告内容是否详实，投资建议是否准确等；</w:t>
      </w:r>
    </w:p>
    <w:p w14:paraId="1D9FF688"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w:t>
      </w:r>
      <w:r w:rsidR="007D677F" w:rsidRPr="00487553">
        <w:rPr>
          <w:rFonts w:asciiTheme="minorEastAsia" w:eastAsiaTheme="minorEastAsia" w:hAnsiTheme="minorEastAsia"/>
        </w:rPr>
        <w:t>提供研究服务的质量。主要包括协助安排上市公司调研、研究资料共享、路演服务、日常沟通交流、接受委托研究的服务质量等方面；</w:t>
      </w:r>
    </w:p>
    <w:p w14:paraId="1CC16E64"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w:t>
      </w:r>
      <w:r w:rsidR="007D677F" w:rsidRPr="00487553">
        <w:rPr>
          <w:rFonts w:asciiTheme="minorEastAsia" w:eastAsiaTheme="minorEastAsia" w:hAnsiTheme="minorEastAsia"/>
        </w:rPr>
        <w:t>法规监管资讯服务。主要包括境外投资法律规定、交易监管规则、信息披露、个人利益冲突、税收等资讯的提供与培训；</w:t>
      </w:r>
    </w:p>
    <w:p w14:paraId="43B4A188"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w:t>
      </w:r>
      <w:r w:rsidR="007D677F" w:rsidRPr="00487553">
        <w:rPr>
          <w:rFonts w:asciiTheme="minorEastAsia" w:eastAsiaTheme="minorEastAsia" w:hAnsiTheme="minorEastAsia"/>
        </w:rPr>
        <w:t>价值贡献。主要是指证券经纪商对公司研究团队、投资团队在业务能力提升上所做的培训服务、对公司投资提升所作出的贡献；</w:t>
      </w:r>
    </w:p>
    <w:p w14:paraId="03A5C8E2" w14:textId="77777777" w:rsidR="007D677F" w:rsidRPr="00487553" w:rsidRDefault="00E91CB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w:t>
      </w:r>
      <w:r w:rsidR="007D677F" w:rsidRPr="00487553">
        <w:rPr>
          <w:rFonts w:asciiTheme="minorEastAsia" w:eastAsiaTheme="minorEastAsia" w:hAnsiTheme="minorEastAsia"/>
        </w:rPr>
        <w:t>其他因素。主要是证券经纪商的财务状况、经营行为规范、风险管理机制、近年内有无重大违规行为等。</w:t>
      </w:r>
    </w:p>
    <w:p w14:paraId="0A183DDA" w14:textId="77777777" w:rsidR="007D677F" w:rsidRPr="00487553" w:rsidRDefault="003C686E" w:rsidP="00D94E68">
      <w:pPr>
        <w:snapToGrid w:val="0"/>
        <w:spacing w:line="360" w:lineRule="auto"/>
        <w:ind w:left="420"/>
        <w:rPr>
          <w:rFonts w:asciiTheme="minorEastAsia" w:eastAsiaTheme="minorEastAsia" w:hAnsiTheme="minorEastAsia"/>
          <w:szCs w:val="21"/>
        </w:rPr>
      </w:pPr>
      <w:r w:rsidRPr="00487553">
        <w:rPr>
          <w:rFonts w:asciiTheme="minorEastAsia" w:eastAsiaTheme="minorEastAsia" w:hAnsiTheme="minorEastAsia" w:hint="eastAsia"/>
          <w:szCs w:val="21"/>
        </w:rPr>
        <w:t>2、</w:t>
      </w:r>
      <w:r w:rsidR="00331144" w:rsidRPr="00487553">
        <w:rPr>
          <w:rFonts w:asciiTheme="minorEastAsia" w:eastAsiaTheme="minorEastAsia" w:hAnsiTheme="minorEastAsia" w:hint="eastAsia"/>
          <w:szCs w:val="21"/>
        </w:rPr>
        <w:t>交易单元</w:t>
      </w:r>
      <w:r w:rsidR="007D677F" w:rsidRPr="00487553">
        <w:rPr>
          <w:rFonts w:asciiTheme="minorEastAsia" w:eastAsiaTheme="minorEastAsia" w:hAnsiTheme="minorEastAsia"/>
          <w:szCs w:val="21"/>
        </w:rPr>
        <w:t>交易量的分配依据</w:t>
      </w:r>
    </w:p>
    <w:p w14:paraId="5F098D10" w14:textId="77777777" w:rsidR="007D677F" w:rsidRPr="00487553" w:rsidRDefault="007D677F"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基金管理人主要根据对证券经纪商的评价结果进行交易量分配。评价证券经纪商将重点依据其交易执行能力、研究报告质量、提供研究服务质量、法规监管资讯服务和价值贡献等方面的指标，并采用十分制进行评分。</w:t>
      </w:r>
    </w:p>
    <w:p w14:paraId="0C7599D9" w14:textId="77777777" w:rsidR="007D677F" w:rsidRPr="00487553" w:rsidRDefault="007D677F"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评分的计算公式是：∑i</w:t>
      </w:r>
      <w:r w:rsidR="00AC785D" w:rsidRPr="00487553">
        <w:rPr>
          <w:rFonts w:asciiTheme="minorEastAsia" w:eastAsiaTheme="minorEastAsia" w:hAnsiTheme="minorEastAsia"/>
        </w:rPr>
        <w:t>（</w:t>
      </w:r>
      <w:r w:rsidRPr="00487553">
        <w:rPr>
          <w:rFonts w:asciiTheme="minorEastAsia" w:eastAsiaTheme="minorEastAsia" w:hAnsiTheme="minorEastAsia"/>
        </w:rPr>
        <w:t>第i项评价项目×项目权重</w:t>
      </w:r>
      <w:r w:rsidR="00AC785D" w:rsidRPr="00487553">
        <w:rPr>
          <w:rFonts w:asciiTheme="minorEastAsia" w:eastAsiaTheme="minorEastAsia" w:hAnsiTheme="minorEastAsia"/>
        </w:rPr>
        <w:t>）</w:t>
      </w:r>
      <w:r w:rsidRPr="00487553">
        <w:rPr>
          <w:rFonts w:asciiTheme="minorEastAsia" w:eastAsiaTheme="minorEastAsia" w:hAnsiTheme="minorEastAsia"/>
        </w:rPr>
        <w:t>，其中各项目权重由基金管理人根据相关法规要求和内部制度进行确定。</w:t>
      </w:r>
    </w:p>
    <w:p w14:paraId="169BD70D" w14:textId="77777777" w:rsidR="007D677F" w:rsidRPr="00487553" w:rsidRDefault="003C686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w:t>
      </w:r>
      <w:r w:rsidR="007D677F" w:rsidRPr="00487553">
        <w:rPr>
          <w:rFonts w:asciiTheme="minorEastAsia" w:eastAsiaTheme="minorEastAsia" w:hAnsiTheme="minorEastAsia"/>
        </w:rPr>
        <w:t>其他事项</w:t>
      </w:r>
    </w:p>
    <w:p w14:paraId="7395D08E" w14:textId="77777777" w:rsidR="0064594E" w:rsidRPr="00487553" w:rsidRDefault="007D677F"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本基金管理人将根据有关规定，在基金定期报告中对所选择的证券经纪商、基金通过该证券经纪商买卖证券的成交量以及所支付的佣金等进行披露。对于在证券经纪商选择和交易量分配中存在或潜在的利益冲突，管理人应该本着尽可能维护持有人的利益进行妥善处理，并按规定进行报告。</w:t>
      </w:r>
      <w:bookmarkStart w:id="189" w:name="_Toc278409349"/>
      <w:bookmarkStart w:id="190" w:name="_Toc278409350"/>
      <w:bookmarkStart w:id="191" w:name="_Toc278409351"/>
      <w:bookmarkStart w:id="192" w:name="_Toc278409352"/>
      <w:bookmarkStart w:id="193" w:name="_Toc278409353"/>
      <w:bookmarkEnd w:id="188"/>
      <w:bookmarkEnd w:id="189"/>
      <w:bookmarkEnd w:id="190"/>
      <w:bookmarkEnd w:id="191"/>
      <w:bookmarkEnd w:id="192"/>
      <w:bookmarkEnd w:id="193"/>
    </w:p>
    <w:p w14:paraId="556ED8B0" w14:textId="77777777" w:rsidR="00D94E68" w:rsidRPr="00487553" w:rsidRDefault="00B0324F" w:rsidP="001016DC">
      <w:pPr>
        <w:pStyle w:val="2"/>
        <w:numPr>
          <w:ilvl w:val="1"/>
          <w:numId w:val="14"/>
        </w:numPr>
        <w:tabs>
          <w:tab w:val="clear" w:pos="1035"/>
          <w:tab w:val="num" w:pos="467"/>
        </w:tabs>
        <w:snapToGrid w:val="0"/>
        <w:spacing w:beforeLines="0" w:afterLines="0" w:line="360" w:lineRule="auto"/>
        <w:ind w:left="0" w:firstLineChars="0" w:firstLine="0"/>
        <w:rPr>
          <w:rFonts w:asciiTheme="minorEastAsia" w:eastAsiaTheme="minorEastAsia" w:hAnsiTheme="minorEastAsia"/>
        </w:rPr>
      </w:pPr>
      <w:bookmarkStart w:id="194" w:name="_Toc271030082"/>
      <w:bookmarkStart w:id="195" w:name="_Toc313542465"/>
      <w:bookmarkStart w:id="196" w:name="_Toc349225718"/>
      <w:bookmarkStart w:id="197" w:name="_Toc20148424"/>
      <w:r w:rsidRPr="00487553">
        <w:rPr>
          <w:rFonts w:asciiTheme="minorEastAsia" w:eastAsiaTheme="minorEastAsia" w:hAnsiTheme="minorEastAsia" w:hint="eastAsia"/>
        </w:rPr>
        <w:t>基金投资组合报告(未经审计)</w:t>
      </w:r>
      <w:bookmarkEnd w:id="194"/>
      <w:bookmarkEnd w:id="195"/>
      <w:bookmarkEnd w:id="196"/>
      <w:bookmarkEnd w:id="197"/>
    </w:p>
    <w:p w14:paraId="187BB095" w14:textId="77777777" w:rsidR="00B0324F" w:rsidRPr="00487553" w:rsidRDefault="00B0324F"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rPr>
        <w:t>本</w:t>
      </w:r>
      <w:r w:rsidRPr="00487553">
        <w:rPr>
          <w:rFonts w:asciiTheme="minorEastAsia" w:eastAsiaTheme="minorEastAsia" w:hAnsiTheme="minorEastAsia" w:hint="eastAsia"/>
          <w:szCs w:val="21"/>
        </w:rPr>
        <w:t>基金管理人的董事会及董事保证本报告所载资料不存在虚假记载、误导性陈述或重大遗漏，并对其内容的真实性、准确性和完整性承担个别及连带责任。</w:t>
      </w:r>
    </w:p>
    <w:p w14:paraId="5C31F308" w14:textId="77777777" w:rsidR="00B0324F" w:rsidRPr="00487553" w:rsidRDefault="00B0324F"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本基金的托管人</w:t>
      </w:r>
      <w:r w:rsidRPr="00487553">
        <w:rPr>
          <w:rFonts w:asciiTheme="minorEastAsia" w:eastAsiaTheme="minorEastAsia" w:hAnsiTheme="minorEastAsia"/>
          <w:szCs w:val="21"/>
        </w:rPr>
        <w:t>交通银行股份有限公司</w:t>
      </w:r>
      <w:r w:rsidRPr="00487553">
        <w:rPr>
          <w:rFonts w:asciiTheme="minorEastAsia" w:eastAsiaTheme="minorEastAsia" w:hAnsiTheme="minorEastAsia" w:hint="eastAsia"/>
          <w:szCs w:val="21"/>
        </w:rPr>
        <w:t>根据本基金合同的规定，复核了本报告的内容，保证复核内容不存在虚假记载、误导性陈述或者重大遗漏。</w:t>
      </w:r>
    </w:p>
    <w:p w14:paraId="03456EE0" w14:textId="6C335C86" w:rsidR="00B0324F" w:rsidRPr="00487553" w:rsidRDefault="00BF53B1" w:rsidP="00D94E68">
      <w:pPr>
        <w:widowControl/>
        <w:snapToGrid w:val="0"/>
        <w:spacing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本投资组合报告有关数据的期间为2019年4月1日至2019年6月30日</w:t>
      </w:r>
      <w:r w:rsidR="00B0324F" w:rsidRPr="00487553">
        <w:rPr>
          <w:rFonts w:asciiTheme="minorEastAsia" w:eastAsiaTheme="minorEastAsia" w:hAnsiTheme="minorEastAsia"/>
          <w:szCs w:val="21"/>
        </w:rPr>
        <w:t>。</w:t>
      </w:r>
    </w:p>
    <w:p w14:paraId="1257E4E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1、报告期末基金资产组合情况</w:t>
      </w:r>
    </w:p>
    <w:tbl>
      <w:tblPr>
        <w:tblW w:w="80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3551"/>
        <w:gridCol w:w="2381"/>
        <w:gridCol w:w="1328"/>
      </w:tblGrid>
      <w:tr w:rsidR="00BF53B1" w:rsidRPr="00487553" w14:paraId="23FAD7B4"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50F49EAC"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序号</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3780DE4" w14:textId="77777777" w:rsidR="00BF53B1" w:rsidRPr="00487553" w:rsidRDefault="00BF53B1">
            <w:pPr>
              <w:spacing w:before="29" w:line="300" w:lineRule="auto"/>
              <w:ind w:left="17"/>
              <w:jc w:val="center"/>
              <w:rPr>
                <w:rFonts w:asciiTheme="minorEastAsia" w:eastAsiaTheme="minorEastAsia" w:hAnsiTheme="minorEastAsia" w:cstheme="minorBidi"/>
              </w:rPr>
            </w:pPr>
            <w:r w:rsidRPr="00487553">
              <w:rPr>
                <w:rFonts w:asciiTheme="minorEastAsia" w:eastAsiaTheme="minorEastAsia" w:hAnsiTheme="minorEastAsia" w:hint="eastAsia"/>
              </w:rPr>
              <w:t>项目</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FB9C2C3"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金额（人民币元）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7191FF"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占基金总资产的比例（%）</w:t>
            </w:r>
          </w:p>
        </w:tc>
      </w:tr>
      <w:tr w:rsidR="00BF53B1" w:rsidRPr="00487553" w14:paraId="0E5E7035"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6931D5BA"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7E12965"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权益投资</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3FDE5F3"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6B8873"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6EF98006"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58035F38"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1468C981"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其中：普通股</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3070B6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4CD7A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066998FE"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74B15106"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17E5448" w14:textId="77777777" w:rsidR="00BF53B1" w:rsidRPr="00487553" w:rsidRDefault="00BF53B1">
            <w:pPr>
              <w:spacing w:before="29" w:line="300" w:lineRule="auto"/>
              <w:ind w:left="17" w:firstLineChars="300" w:firstLine="630"/>
              <w:jc w:val="left"/>
              <w:rPr>
                <w:rFonts w:asciiTheme="minorEastAsia" w:eastAsiaTheme="minorEastAsia" w:hAnsiTheme="minorEastAsia"/>
              </w:rPr>
            </w:pPr>
            <w:r w:rsidRPr="00487553">
              <w:rPr>
                <w:rFonts w:asciiTheme="minorEastAsia" w:eastAsiaTheme="minorEastAsia" w:hAnsiTheme="minorEastAsia" w:hint="eastAsia"/>
              </w:rPr>
              <w:t>存托凭证</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67426CB"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013560"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2020DD5F"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1C1EF815"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B1FECC2" w14:textId="77777777" w:rsidR="00BF53B1" w:rsidRPr="00487553" w:rsidRDefault="00BF53B1">
            <w:pPr>
              <w:spacing w:before="29" w:line="300" w:lineRule="auto"/>
              <w:ind w:left="17" w:firstLineChars="300" w:firstLine="630"/>
              <w:jc w:val="left"/>
              <w:rPr>
                <w:rFonts w:asciiTheme="minorEastAsia" w:eastAsiaTheme="minorEastAsia" w:hAnsiTheme="minorEastAsia"/>
              </w:rPr>
            </w:pPr>
            <w:r w:rsidRPr="00487553">
              <w:rPr>
                <w:rFonts w:asciiTheme="minorEastAsia" w:eastAsiaTheme="minorEastAsia" w:hAnsiTheme="minorEastAsia" w:hint="eastAsia"/>
              </w:rPr>
              <w:t>优先股</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2CAB1FB"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1ACC69"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6028CCDE"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27D9377E"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332962B" w14:textId="77777777" w:rsidR="00BF53B1" w:rsidRPr="00487553" w:rsidRDefault="00BF53B1">
            <w:pPr>
              <w:spacing w:before="29" w:line="300" w:lineRule="auto"/>
              <w:ind w:left="17" w:firstLineChars="300" w:firstLine="630"/>
              <w:jc w:val="left"/>
              <w:rPr>
                <w:rFonts w:asciiTheme="minorEastAsia" w:eastAsiaTheme="minorEastAsia" w:hAnsiTheme="minorEastAsia"/>
              </w:rPr>
            </w:pPr>
            <w:r w:rsidRPr="00487553">
              <w:rPr>
                <w:rFonts w:asciiTheme="minorEastAsia" w:eastAsiaTheme="minorEastAsia" w:hAnsiTheme="minorEastAsia" w:hint="eastAsia"/>
              </w:rPr>
              <w:t>房地产信托</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6B7CEB4"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81BC7C"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557866B4" w14:textId="77777777" w:rsidTr="00BF53B1">
        <w:tc>
          <w:tcPr>
            <w:tcW w:w="850" w:type="dxa"/>
            <w:tcBorders>
              <w:top w:val="single" w:sz="4" w:space="0" w:color="auto"/>
              <w:left w:val="single" w:sz="4" w:space="0" w:color="auto"/>
              <w:bottom w:val="single" w:sz="4" w:space="0" w:color="auto"/>
              <w:right w:val="single" w:sz="4" w:space="0" w:color="auto"/>
            </w:tcBorders>
            <w:hideMark/>
          </w:tcPr>
          <w:p w14:paraId="1848491A" w14:textId="77777777" w:rsidR="00BF53B1" w:rsidRPr="00487553" w:rsidRDefault="00BF53B1">
            <w:pPr>
              <w:adjustRightInd w:val="0"/>
              <w:snapToGrid w:val="0"/>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2</w:t>
            </w:r>
          </w:p>
        </w:tc>
        <w:tc>
          <w:tcPr>
            <w:tcW w:w="4252" w:type="dxa"/>
            <w:tcBorders>
              <w:top w:val="single" w:sz="4" w:space="0" w:color="auto"/>
              <w:left w:val="single" w:sz="4" w:space="0" w:color="auto"/>
              <w:bottom w:val="single" w:sz="4" w:space="0" w:color="auto"/>
              <w:right w:val="single" w:sz="4" w:space="0" w:color="auto"/>
            </w:tcBorders>
            <w:hideMark/>
          </w:tcPr>
          <w:p w14:paraId="282925DD" w14:textId="77777777" w:rsidR="00BF53B1" w:rsidRPr="00487553" w:rsidRDefault="00BF53B1">
            <w:pPr>
              <w:adjustRightInd w:val="0"/>
              <w:snapToGrid w:val="0"/>
              <w:spacing w:line="300" w:lineRule="auto"/>
              <w:rPr>
                <w:rFonts w:asciiTheme="minorEastAsia" w:eastAsiaTheme="minorEastAsia" w:hAnsiTheme="minorEastAsia"/>
              </w:rPr>
            </w:pPr>
            <w:r w:rsidRPr="00487553">
              <w:rPr>
                <w:rFonts w:asciiTheme="minorEastAsia" w:eastAsiaTheme="minorEastAsia" w:hAnsiTheme="minorEastAsia" w:hint="eastAsia"/>
              </w:rPr>
              <w:t>基金投资</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D9E6AB2"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1,472,492,626.63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01F9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93.77</w:t>
            </w:r>
          </w:p>
        </w:tc>
      </w:tr>
      <w:tr w:rsidR="00BF53B1" w:rsidRPr="00487553" w14:paraId="72ABBC49"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0708DD7D"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A25AC92"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固定收益投资</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25A44AB"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090FB1"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1D6B7713"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41632532"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1396BF91"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其中：债券</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93FCD5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B4FD70"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7C1ACB65"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3EC3CF05"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8E9D8B7" w14:textId="77777777" w:rsidR="00BF53B1" w:rsidRPr="00487553" w:rsidRDefault="00BF53B1">
            <w:pPr>
              <w:autoSpaceDE w:val="0"/>
              <w:autoSpaceDN w:val="0"/>
              <w:adjustRightInd w:val="0"/>
              <w:spacing w:before="29" w:line="300" w:lineRule="auto"/>
              <w:ind w:left="17" w:firstLineChars="300" w:firstLine="630"/>
              <w:jc w:val="left"/>
              <w:rPr>
                <w:rFonts w:asciiTheme="minorEastAsia" w:eastAsiaTheme="minorEastAsia" w:hAnsiTheme="minorEastAsia"/>
              </w:rPr>
            </w:pPr>
            <w:r w:rsidRPr="00487553">
              <w:rPr>
                <w:rFonts w:asciiTheme="minorEastAsia" w:eastAsiaTheme="minorEastAsia" w:hAnsiTheme="minorEastAsia" w:hint="eastAsia"/>
              </w:rPr>
              <w:t>资产支持证券</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E2BE5E2"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1EDD41"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0CF7CFE4"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2AF9D828"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E630C0"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金融衍生品投资</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2E914C3"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CE3C9B"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0897A9A4"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19EF1F8B"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hideMark/>
          </w:tcPr>
          <w:p w14:paraId="0599D671" w14:textId="77777777" w:rsidR="00BF53B1" w:rsidRPr="00487553" w:rsidRDefault="00BF53B1">
            <w:pPr>
              <w:adjustRightInd w:val="0"/>
              <w:snapToGrid w:val="0"/>
              <w:spacing w:line="300" w:lineRule="auto"/>
              <w:rPr>
                <w:rFonts w:asciiTheme="minorEastAsia" w:eastAsiaTheme="minorEastAsia" w:hAnsiTheme="minorEastAsia"/>
              </w:rPr>
            </w:pPr>
            <w:r w:rsidRPr="00487553">
              <w:rPr>
                <w:rFonts w:asciiTheme="minorEastAsia" w:eastAsiaTheme="minorEastAsia" w:hAnsiTheme="minorEastAsia" w:hint="eastAsia"/>
              </w:rPr>
              <w:t>其中：远期</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9C45057"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4B08A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15893746"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3D53AA42"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hideMark/>
          </w:tcPr>
          <w:p w14:paraId="4DB769DC" w14:textId="77777777" w:rsidR="00BF53B1" w:rsidRPr="00487553" w:rsidRDefault="00BF53B1">
            <w:pPr>
              <w:adjustRightInd w:val="0"/>
              <w:snapToGrid w:val="0"/>
              <w:spacing w:line="300" w:lineRule="auto"/>
              <w:ind w:firstLineChars="300" w:firstLine="630"/>
              <w:rPr>
                <w:rFonts w:asciiTheme="minorEastAsia" w:eastAsiaTheme="minorEastAsia" w:hAnsiTheme="minorEastAsia"/>
              </w:rPr>
            </w:pPr>
            <w:r w:rsidRPr="00487553">
              <w:rPr>
                <w:rFonts w:asciiTheme="minorEastAsia" w:eastAsiaTheme="minorEastAsia" w:hAnsiTheme="minorEastAsia" w:hint="eastAsia"/>
              </w:rPr>
              <w:t>期货</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0650C7E"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D0303"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7EA07C2C"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4C1A4036"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hideMark/>
          </w:tcPr>
          <w:p w14:paraId="261E31E8" w14:textId="77777777" w:rsidR="00BF53B1" w:rsidRPr="00487553" w:rsidRDefault="00BF53B1">
            <w:pPr>
              <w:adjustRightInd w:val="0"/>
              <w:snapToGrid w:val="0"/>
              <w:spacing w:line="300" w:lineRule="auto"/>
              <w:ind w:firstLineChars="300" w:firstLine="630"/>
              <w:rPr>
                <w:rFonts w:asciiTheme="minorEastAsia" w:eastAsiaTheme="minorEastAsia" w:hAnsiTheme="minorEastAsia"/>
              </w:rPr>
            </w:pPr>
            <w:r w:rsidRPr="00487553">
              <w:rPr>
                <w:rFonts w:asciiTheme="minorEastAsia" w:eastAsiaTheme="minorEastAsia" w:hAnsiTheme="minorEastAsia" w:hint="eastAsia"/>
              </w:rPr>
              <w:t>期权</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F6D6666"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FE3E15"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0CE24700"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6DC8AE4D"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hideMark/>
          </w:tcPr>
          <w:p w14:paraId="46D3A5CD" w14:textId="77777777" w:rsidR="00BF53B1" w:rsidRPr="00487553" w:rsidRDefault="00BF53B1">
            <w:pPr>
              <w:adjustRightInd w:val="0"/>
              <w:snapToGrid w:val="0"/>
              <w:spacing w:line="300" w:lineRule="auto"/>
              <w:ind w:firstLineChars="298" w:firstLine="626"/>
              <w:rPr>
                <w:rFonts w:asciiTheme="minorEastAsia" w:eastAsiaTheme="minorEastAsia" w:hAnsiTheme="minorEastAsia"/>
              </w:rPr>
            </w:pPr>
            <w:r w:rsidRPr="00487553">
              <w:rPr>
                <w:rFonts w:asciiTheme="minorEastAsia" w:eastAsiaTheme="minorEastAsia" w:hAnsiTheme="minorEastAsia" w:hint="eastAsia"/>
              </w:rPr>
              <w:t>权证</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08C7D9E"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BBEF90"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315B0C8E"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5FCA7CC0"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620C2F7"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买入返售金融资产</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1E4692D"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A3CF79"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6141877D" w14:textId="77777777" w:rsidTr="00BF53B1">
        <w:tc>
          <w:tcPr>
            <w:tcW w:w="850" w:type="dxa"/>
            <w:tcBorders>
              <w:top w:val="single" w:sz="4" w:space="0" w:color="auto"/>
              <w:left w:val="single" w:sz="4" w:space="0" w:color="auto"/>
              <w:bottom w:val="single" w:sz="4" w:space="0" w:color="auto"/>
              <w:right w:val="single" w:sz="4" w:space="0" w:color="auto"/>
            </w:tcBorders>
            <w:vAlign w:val="center"/>
          </w:tcPr>
          <w:p w14:paraId="0CFD74E3" w14:textId="77777777" w:rsidR="00BF53B1" w:rsidRPr="00487553" w:rsidRDefault="00BF53B1">
            <w:pPr>
              <w:spacing w:before="29" w:line="300" w:lineRule="auto"/>
              <w:ind w:left="17"/>
              <w:jc w:val="center"/>
              <w:rPr>
                <w:rFonts w:asciiTheme="minorEastAsia" w:eastAsiaTheme="minorEastAsia" w:hAnsi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279DF03"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其中：买断式回购的买入返售金融资产</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86D58EC"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F91FB1"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45FFFCDB" w14:textId="77777777" w:rsidTr="00BF53B1">
        <w:tc>
          <w:tcPr>
            <w:tcW w:w="850" w:type="dxa"/>
            <w:tcBorders>
              <w:top w:val="single" w:sz="4" w:space="0" w:color="auto"/>
              <w:left w:val="single" w:sz="4" w:space="0" w:color="auto"/>
              <w:bottom w:val="single" w:sz="4" w:space="0" w:color="auto"/>
              <w:right w:val="single" w:sz="4" w:space="0" w:color="auto"/>
            </w:tcBorders>
            <w:hideMark/>
          </w:tcPr>
          <w:p w14:paraId="29F7BD79" w14:textId="77777777" w:rsidR="00BF53B1" w:rsidRPr="00487553" w:rsidRDefault="00BF53B1">
            <w:pPr>
              <w:adjustRightInd w:val="0"/>
              <w:snapToGrid w:val="0"/>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6</w:t>
            </w:r>
          </w:p>
        </w:tc>
        <w:tc>
          <w:tcPr>
            <w:tcW w:w="4252" w:type="dxa"/>
            <w:tcBorders>
              <w:top w:val="single" w:sz="4" w:space="0" w:color="auto"/>
              <w:left w:val="single" w:sz="4" w:space="0" w:color="auto"/>
              <w:bottom w:val="single" w:sz="4" w:space="0" w:color="auto"/>
              <w:right w:val="single" w:sz="4" w:space="0" w:color="auto"/>
            </w:tcBorders>
            <w:hideMark/>
          </w:tcPr>
          <w:p w14:paraId="202C967D" w14:textId="77777777" w:rsidR="00BF53B1" w:rsidRPr="00487553" w:rsidRDefault="00BF53B1">
            <w:pPr>
              <w:adjustRightInd w:val="0"/>
              <w:snapToGrid w:val="0"/>
              <w:spacing w:line="300" w:lineRule="auto"/>
              <w:rPr>
                <w:rFonts w:asciiTheme="minorEastAsia" w:eastAsiaTheme="minorEastAsia" w:hAnsiTheme="minorEastAsia"/>
              </w:rPr>
            </w:pPr>
            <w:r w:rsidRPr="00487553">
              <w:rPr>
                <w:rFonts w:asciiTheme="minorEastAsia" w:eastAsiaTheme="minorEastAsia" w:hAnsiTheme="minorEastAsia" w:hint="eastAsia"/>
              </w:rPr>
              <w:t>货币市场工具</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995F07B"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78BEE"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26C7156A"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08943DC5"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A126ABC" w14:textId="77777777" w:rsidR="00BF53B1" w:rsidRPr="00487553" w:rsidRDefault="00BF53B1">
            <w:pPr>
              <w:spacing w:before="29" w:line="300" w:lineRule="auto"/>
              <w:ind w:left="17"/>
              <w:jc w:val="left"/>
              <w:rPr>
                <w:rFonts w:asciiTheme="minorEastAsia" w:eastAsiaTheme="minorEastAsia" w:hAnsiTheme="minorEastAsia"/>
              </w:rPr>
            </w:pPr>
            <w:r w:rsidRPr="00487553">
              <w:rPr>
                <w:rFonts w:asciiTheme="minorEastAsia" w:eastAsiaTheme="minorEastAsia" w:hAnsiTheme="minorEastAsia" w:hint="eastAsia"/>
              </w:rPr>
              <w:t>银行存款和结算备付金合计</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F9582AA"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97,105,741.47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C2A1D4" w14:textId="77777777" w:rsidR="00BF53B1" w:rsidRPr="00487553" w:rsidRDefault="00BF53B1">
            <w:pPr>
              <w:spacing w:before="29" w:line="300" w:lineRule="auto"/>
              <w:ind w:left="17"/>
              <w:jc w:val="right"/>
              <w:rPr>
                <w:rFonts w:asciiTheme="minorEastAsia" w:eastAsiaTheme="minorEastAsia" w:hAnsiTheme="minorEastAsia"/>
              </w:rPr>
            </w:pPr>
            <w:r w:rsidRPr="00487553">
              <w:rPr>
                <w:rFonts w:asciiTheme="minorEastAsia" w:eastAsiaTheme="minorEastAsia" w:hAnsiTheme="minorEastAsia" w:hint="eastAsia"/>
              </w:rPr>
              <w:t>6.18</w:t>
            </w:r>
          </w:p>
        </w:tc>
      </w:tr>
      <w:tr w:rsidR="00BF53B1" w:rsidRPr="00487553" w14:paraId="33A518CC"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3E8D3D5A"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8</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B77883A" w14:textId="77777777" w:rsidR="00BF53B1" w:rsidRPr="00487553" w:rsidRDefault="00BF53B1">
            <w:pPr>
              <w:spacing w:line="300" w:lineRule="auto"/>
              <w:jc w:val="left"/>
              <w:rPr>
                <w:rFonts w:asciiTheme="minorEastAsia" w:eastAsiaTheme="minorEastAsia" w:hAnsiTheme="minorEastAsia"/>
              </w:rPr>
            </w:pPr>
            <w:r w:rsidRPr="00487553">
              <w:rPr>
                <w:rFonts w:asciiTheme="minorEastAsia" w:eastAsiaTheme="minorEastAsia" w:hAnsiTheme="minorEastAsia" w:hint="eastAsia"/>
              </w:rPr>
              <w:t>其他资产</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3B1ED71"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749,288.41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EECFC2"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0.05</w:t>
            </w:r>
          </w:p>
        </w:tc>
      </w:tr>
      <w:tr w:rsidR="00BF53B1" w:rsidRPr="00487553" w14:paraId="2F86B222" w14:textId="77777777" w:rsidTr="00BF53B1">
        <w:tc>
          <w:tcPr>
            <w:tcW w:w="850" w:type="dxa"/>
            <w:tcBorders>
              <w:top w:val="single" w:sz="4" w:space="0" w:color="auto"/>
              <w:left w:val="single" w:sz="4" w:space="0" w:color="auto"/>
              <w:bottom w:val="single" w:sz="4" w:space="0" w:color="auto"/>
              <w:right w:val="single" w:sz="4" w:space="0" w:color="auto"/>
            </w:tcBorders>
            <w:vAlign w:val="center"/>
            <w:hideMark/>
          </w:tcPr>
          <w:p w14:paraId="5FB52359" w14:textId="77777777" w:rsidR="00BF53B1" w:rsidRPr="00487553" w:rsidRDefault="00BF53B1">
            <w:pPr>
              <w:spacing w:before="29" w:line="300" w:lineRule="auto"/>
              <w:ind w:left="17"/>
              <w:jc w:val="center"/>
              <w:rPr>
                <w:rFonts w:asciiTheme="minorEastAsia" w:eastAsiaTheme="minorEastAsia" w:hAnsiTheme="minorEastAsia"/>
              </w:rPr>
            </w:pPr>
            <w:r w:rsidRPr="00487553">
              <w:rPr>
                <w:rFonts w:asciiTheme="minorEastAsia" w:eastAsiaTheme="minorEastAsia" w:hAnsiTheme="minorEastAsia" w:hint="eastAsia"/>
              </w:rPr>
              <w:t>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319F3FC" w14:textId="77777777" w:rsidR="00BF53B1" w:rsidRPr="00487553" w:rsidRDefault="00BF53B1">
            <w:pPr>
              <w:spacing w:line="300" w:lineRule="auto"/>
              <w:jc w:val="left"/>
              <w:rPr>
                <w:rFonts w:asciiTheme="minorEastAsia" w:eastAsiaTheme="minorEastAsia" w:hAnsiTheme="minorEastAsia"/>
              </w:rPr>
            </w:pPr>
            <w:r w:rsidRPr="00487553">
              <w:rPr>
                <w:rFonts w:asciiTheme="minorEastAsia" w:eastAsiaTheme="minorEastAsia" w:hAnsiTheme="minorEastAsia" w:hint="eastAsia"/>
              </w:rPr>
              <w:t>合计</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5B1DE8A"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1,570,347,656.51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345BA"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100.00</w:t>
            </w:r>
          </w:p>
        </w:tc>
      </w:tr>
    </w:tbl>
    <w:p w14:paraId="5D6C99B7"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2、期末投资目标基金明细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1960"/>
        <w:gridCol w:w="746"/>
        <w:gridCol w:w="686"/>
        <w:gridCol w:w="1129"/>
        <w:gridCol w:w="1896"/>
        <w:gridCol w:w="897"/>
      </w:tblGrid>
      <w:tr w:rsidR="00BF53B1" w:rsidRPr="00487553" w14:paraId="597821CD" w14:textId="77777777" w:rsidTr="00BF53B1">
        <w:tc>
          <w:tcPr>
            <w:tcW w:w="1183" w:type="dxa"/>
            <w:tcBorders>
              <w:top w:val="single" w:sz="4" w:space="0" w:color="auto"/>
              <w:left w:val="single" w:sz="4" w:space="0" w:color="auto"/>
              <w:bottom w:val="single" w:sz="4" w:space="0" w:color="auto"/>
              <w:right w:val="single" w:sz="4" w:space="0" w:color="auto"/>
            </w:tcBorders>
            <w:vAlign w:val="center"/>
            <w:hideMark/>
          </w:tcPr>
          <w:p w14:paraId="2A51F9BE"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序号</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5E6B5F5"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487553">
              <w:rPr>
                <w:rFonts w:asciiTheme="minorEastAsia" w:eastAsiaTheme="minorEastAsia" w:hAnsiTheme="minorEastAsia" w:hint="eastAsia"/>
                <w:kern w:val="0"/>
              </w:rPr>
              <w:t>基金名称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EDF39DE"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基金类型</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4BBC686"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运作方式</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2BBEA74"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管理人</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E1E5402"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公允价值</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C89B1D5"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kern w:val="0"/>
              </w:rPr>
              <w:t>占基金资产净值比例（%）</w:t>
            </w:r>
          </w:p>
        </w:tc>
      </w:tr>
      <w:tr w:rsidR="00BF53B1" w:rsidRPr="00487553" w14:paraId="356E59AB" w14:textId="77777777" w:rsidTr="00BF53B1">
        <w:tc>
          <w:tcPr>
            <w:tcW w:w="0" w:type="auto"/>
            <w:tcBorders>
              <w:top w:val="single" w:sz="4" w:space="0" w:color="auto"/>
              <w:left w:val="single" w:sz="4" w:space="0" w:color="auto"/>
              <w:bottom w:val="single" w:sz="4" w:space="0" w:color="auto"/>
              <w:right w:val="single" w:sz="4" w:space="0" w:color="auto"/>
            </w:tcBorders>
            <w:vAlign w:val="center"/>
            <w:hideMark/>
          </w:tcPr>
          <w:p w14:paraId="70B5A51D"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C3C1B"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易方达恒生中国企业交易型开放式指数证券投资基金</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A80F2"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ETF</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1930B"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开放式</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2B948"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易方达基金管理有限公司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AC00C"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1,472,492,626.63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659C2"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94.21</w:t>
            </w:r>
          </w:p>
        </w:tc>
      </w:tr>
    </w:tbl>
    <w:p w14:paraId="6572C811"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3、报告期末在各个国家（地区）证券市场的股票及存托凭证投资分布</w:t>
      </w:r>
    </w:p>
    <w:p w14:paraId="7F7210EF"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本基金本报告期末未持有股票及存托凭证。</w:t>
      </w:r>
    </w:p>
    <w:p w14:paraId="56009C15"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4、报告期末按行业分类的股票及存托凭证投资组合</w:t>
      </w:r>
    </w:p>
    <w:p w14:paraId="7070A3D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本基金本报告期末未持有股票及存托凭证。</w:t>
      </w:r>
    </w:p>
    <w:p w14:paraId="2C49B975"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5、报告期末按公允价值占基金资产净值比例大小排序的前十名股票及存托凭证投资明细</w:t>
      </w:r>
    </w:p>
    <w:p w14:paraId="235C953F"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本基金本报告期末未持有股票及存托凭证。</w:t>
      </w:r>
    </w:p>
    <w:p w14:paraId="31D6604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6、报告期末按债券信用等级分类的债券投资组合</w:t>
      </w:r>
    </w:p>
    <w:p w14:paraId="0837C408"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本基金本报告期末未持有债券。</w:t>
      </w:r>
    </w:p>
    <w:p w14:paraId="5E682AA4"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7、报告期末按公允价值占基金资产净值比例大小排序的前五名债券投资明细</w:t>
      </w:r>
    </w:p>
    <w:p w14:paraId="5D38B735"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本基金本报告期末未持有债券。</w:t>
      </w:r>
    </w:p>
    <w:p w14:paraId="63D96017"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8、报告期末按公允价值占基金资产净值比例大小排序的前十名资产支持证券投资明细</w:t>
      </w:r>
    </w:p>
    <w:p w14:paraId="25484B84"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本基金本报告期末未持有资产支持证券。</w:t>
      </w:r>
    </w:p>
    <w:p w14:paraId="6185D5C7"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9、报告期末按公允价值占基金资产净值比例大小排序的前五名金融衍生品投资明细</w:t>
      </w:r>
    </w:p>
    <w:p w14:paraId="6667106D"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本基金本报告期末未持有金融衍生品。</w:t>
      </w:r>
    </w:p>
    <w:p w14:paraId="1AEE1D56"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10、报告期末按公允价值占基金资产净值比例大小排序的前十名基金投资明细</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1975"/>
        <w:gridCol w:w="750"/>
        <w:gridCol w:w="680"/>
        <w:gridCol w:w="1130"/>
        <w:gridCol w:w="1896"/>
        <w:gridCol w:w="889"/>
      </w:tblGrid>
      <w:tr w:rsidR="00BF53B1" w:rsidRPr="00487553" w14:paraId="05651FED" w14:textId="77777777" w:rsidTr="00BF53B1">
        <w:tc>
          <w:tcPr>
            <w:tcW w:w="1183" w:type="dxa"/>
            <w:tcBorders>
              <w:top w:val="single" w:sz="4" w:space="0" w:color="auto"/>
              <w:left w:val="single" w:sz="4" w:space="0" w:color="auto"/>
              <w:bottom w:val="single" w:sz="4" w:space="0" w:color="auto"/>
              <w:right w:val="single" w:sz="4" w:space="0" w:color="auto"/>
            </w:tcBorders>
            <w:vAlign w:val="center"/>
            <w:hideMark/>
          </w:tcPr>
          <w:p w14:paraId="3BE829C2"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序号</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496D62F" w14:textId="77777777" w:rsidR="00BF53B1" w:rsidRPr="00487553" w:rsidRDefault="00BF53B1">
            <w:pPr>
              <w:spacing w:line="300" w:lineRule="auto"/>
              <w:rPr>
                <w:rFonts w:asciiTheme="minorEastAsia" w:eastAsiaTheme="minorEastAsia" w:hAnsiTheme="minorEastAsia" w:cstheme="minorBidi"/>
              </w:rPr>
            </w:pPr>
            <w:r w:rsidRPr="00487553">
              <w:rPr>
                <w:rFonts w:asciiTheme="minorEastAsia" w:eastAsiaTheme="minorEastAsia" w:hAnsiTheme="minorEastAsia" w:hint="eastAsia"/>
              </w:rPr>
              <w:t>基金名称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9A3B9B1" w14:textId="77777777" w:rsidR="00BF53B1" w:rsidRPr="00487553" w:rsidRDefault="00BF53B1">
            <w:pPr>
              <w:spacing w:line="300" w:lineRule="auto"/>
              <w:rPr>
                <w:rFonts w:asciiTheme="minorEastAsia" w:eastAsiaTheme="minorEastAsia" w:hAnsiTheme="minorEastAsia"/>
              </w:rPr>
            </w:pPr>
            <w:r w:rsidRPr="00487553">
              <w:rPr>
                <w:rFonts w:asciiTheme="minorEastAsia" w:eastAsiaTheme="minorEastAsia" w:hAnsiTheme="minorEastAsia" w:hint="eastAsia"/>
              </w:rPr>
              <w:t>基金类型</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917955D"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运作方式</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8C9F75C"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管理人</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2377CF"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公允价值</w:t>
            </w:r>
          </w:p>
          <w:p w14:paraId="26B835EA"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（人民币元）</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3F91346"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占基金资产净值比例（%）</w:t>
            </w:r>
          </w:p>
        </w:tc>
      </w:tr>
      <w:tr w:rsidR="00BF53B1" w:rsidRPr="00487553" w14:paraId="354699B3" w14:textId="77777777" w:rsidTr="00BF53B1">
        <w:tc>
          <w:tcPr>
            <w:tcW w:w="0" w:type="auto"/>
            <w:tcBorders>
              <w:top w:val="single" w:sz="4" w:space="0" w:color="auto"/>
              <w:left w:val="single" w:sz="4" w:space="0" w:color="auto"/>
              <w:bottom w:val="single" w:sz="4" w:space="0" w:color="auto"/>
              <w:right w:val="single" w:sz="4" w:space="0" w:color="auto"/>
            </w:tcBorders>
            <w:vAlign w:val="center"/>
            <w:hideMark/>
          </w:tcPr>
          <w:p w14:paraId="1386831E"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0DC55"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易方达恒生中国企业交易型开放式指数证券投资基金</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178D3"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ETF</w:t>
            </w:r>
          </w:p>
        </w:tc>
        <w:tc>
          <w:tcPr>
            <w:tcW w:w="0" w:type="auto"/>
            <w:tcBorders>
              <w:top w:val="single" w:sz="4" w:space="0" w:color="auto"/>
              <w:left w:val="single" w:sz="4" w:space="0" w:color="auto"/>
              <w:bottom w:val="single" w:sz="4" w:space="0" w:color="auto"/>
              <w:right w:val="single" w:sz="4" w:space="0" w:color="auto"/>
            </w:tcBorders>
            <w:vAlign w:val="center"/>
            <w:hideMark/>
          </w:tcPr>
          <w:p w14:paraId="2AB52F97"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开放式</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F6DC7" w14:textId="77777777" w:rsidR="00BF53B1" w:rsidRPr="00487553" w:rsidRDefault="00BF53B1">
            <w:pPr>
              <w:spacing w:line="300" w:lineRule="auto"/>
              <w:jc w:val="center"/>
              <w:rPr>
                <w:rFonts w:asciiTheme="minorEastAsia" w:eastAsiaTheme="minorEastAsia" w:hAnsiTheme="minorEastAsia"/>
              </w:rPr>
            </w:pPr>
            <w:r w:rsidRPr="00487553">
              <w:rPr>
                <w:rFonts w:asciiTheme="minorEastAsia" w:eastAsiaTheme="minorEastAsia" w:hAnsiTheme="minorEastAsia" w:hint="eastAsia"/>
              </w:rPr>
              <w:t>易方达基金管理有限公司</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32E6F"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1,472,492,626.63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90235" w14:textId="77777777" w:rsidR="00BF53B1" w:rsidRPr="00487553" w:rsidRDefault="00BF53B1">
            <w:pPr>
              <w:spacing w:line="300" w:lineRule="auto"/>
              <w:jc w:val="right"/>
              <w:rPr>
                <w:rFonts w:asciiTheme="minorEastAsia" w:eastAsiaTheme="minorEastAsia" w:hAnsiTheme="minorEastAsia"/>
              </w:rPr>
            </w:pPr>
            <w:r w:rsidRPr="00487553">
              <w:rPr>
                <w:rFonts w:asciiTheme="minorEastAsia" w:eastAsiaTheme="minorEastAsia" w:hAnsiTheme="minorEastAsia" w:hint="eastAsia"/>
              </w:rPr>
              <w:t>94.21</w:t>
            </w:r>
          </w:p>
        </w:tc>
      </w:tr>
    </w:tbl>
    <w:p w14:paraId="708337F9"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11、投资组合报告附注</w:t>
      </w:r>
    </w:p>
    <w:p w14:paraId="7507446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1）根据中国人寿保险股份有限公司董事会2018年7月29日发布的关于收到《中国人民银行行政处罚决定书》的公告，因公司未按照规定保存客户身份资料和交易记录以及未按照规定报送大额交易报告和可疑交易报告，被中国人民银行予以行政处罚。</w:t>
      </w:r>
    </w:p>
    <w:p w14:paraId="32D790C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2018年7月5日，深圳保监局针对招商银行股份有限公司电话销售欺骗投保人罚款30万元。</w:t>
      </w:r>
    </w:p>
    <w:p w14:paraId="12D959FE"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2018年11月19日，中国保险监督管理委员会北京监管局针对中国工商银行股份有限公司存在电话销售保险过程中欺骗投保人的行为，对中国工商银行股份有限公司处以人民</w:t>
      </w:r>
      <w:r w:rsidRPr="00487553">
        <w:rPr>
          <w:rFonts w:asciiTheme="minorEastAsia" w:eastAsiaTheme="minorEastAsia" w:hAnsiTheme="minorEastAsia" w:hint="eastAsia"/>
          <w:szCs w:val="21"/>
        </w:rPr>
        <w:lastRenderedPageBreak/>
        <w:t>币30万元行政罚款。</w:t>
      </w:r>
    </w:p>
    <w:p w14:paraId="375E0DE3"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为目标ETF的联接基金，上述股票系标的指数成份股，上述股票的投资决策程序符合公司投资制度的规定。除中国人寿、招商银行、工商银行外，本基金目标ETF投资的前十名证券的发行主体本期没有出现被监管部门立案调查，或在报告编制日前一年内受到公开谴责、处罚的情形。</w:t>
      </w:r>
    </w:p>
    <w:p w14:paraId="2E47822D"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本基金投资的前十名证券的发行主体本期没有出现被监管部门立案调查，或在报告编制日前一年内受到公开谴责、处罚的情形。</w:t>
      </w:r>
    </w:p>
    <w:p w14:paraId="0859C17B"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（2）本基金本报告期末未持有股票。</w:t>
      </w:r>
    </w:p>
    <w:p w14:paraId="766049F2"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（3）其他各项资产构成</w:t>
      </w:r>
    </w:p>
    <w:tbl>
      <w:tblPr>
        <w:tblW w:w="80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
        <w:gridCol w:w="2729"/>
        <w:gridCol w:w="4509"/>
      </w:tblGrid>
      <w:tr w:rsidR="00BF53B1" w:rsidRPr="00487553" w14:paraId="66F75716"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6701C6F1" w14:textId="77777777" w:rsidR="00BF53B1" w:rsidRPr="00487553" w:rsidRDefault="00BF53B1">
            <w:pPr>
              <w:autoSpaceDE w:val="0"/>
              <w:autoSpaceDN w:val="0"/>
              <w:adjustRightInd w:val="0"/>
              <w:spacing w:before="29" w:line="300" w:lineRule="auto"/>
              <w:ind w:left="17"/>
              <w:jc w:val="center"/>
              <w:rPr>
                <w:rFonts w:asciiTheme="minorEastAsia" w:eastAsiaTheme="minorEastAsia" w:hAnsiTheme="minorEastAsia"/>
                <w:kern w:val="0"/>
              </w:rPr>
            </w:pPr>
            <w:r w:rsidRPr="00487553">
              <w:rPr>
                <w:rFonts w:asciiTheme="minorEastAsia" w:eastAsiaTheme="minorEastAsia" w:hAnsiTheme="minorEastAsia" w:hint="eastAsia"/>
                <w:kern w:val="0"/>
              </w:rPr>
              <w:t>序号</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A39F978" w14:textId="77777777" w:rsidR="00BF53B1" w:rsidRPr="00487553" w:rsidRDefault="00BF53B1">
            <w:pPr>
              <w:autoSpaceDE w:val="0"/>
              <w:autoSpaceDN w:val="0"/>
              <w:adjustRightInd w:val="0"/>
              <w:spacing w:before="29" w:line="300" w:lineRule="auto"/>
              <w:ind w:left="17"/>
              <w:jc w:val="center"/>
              <w:rPr>
                <w:rFonts w:asciiTheme="minorEastAsia" w:eastAsiaTheme="minorEastAsia" w:hAnsiTheme="minorEastAsia" w:cstheme="minorBidi"/>
                <w:kern w:val="0"/>
              </w:rPr>
            </w:pPr>
            <w:r w:rsidRPr="00487553">
              <w:rPr>
                <w:rFonts w:asciiTheme="minorEastAsia" w:eastAsiaTheme="minorEastAsia" w:hAnsiTheme="minorEastAsia" w:hint="eastAsia"/>
                <w:kern w:val="0"/>
              </w:rPr>
              <w:t>名称</w:t>
            </w:r>
          </w:p>
        </w:tc>
        <w:tc>
          <w:tcPr>
            <w:tcW w:w="4808" w:type="dxa"/>
            <w:tcBorders>
              <w:top w:val="single" w:sz="4" w:space="0" w:color="auto"/>
              <w:left w:val="single" w:sz="4" w:space="0" w:color="auto"/>
              <w:bottom w:val="single" w:sz="4" w:space="0" w:color="auto"/>
              <w:right w:val="single" w:sz="4" w:space="0" w:color="auto"/>
            </w:tcBorders>
            <w:vAlign w:val="center"/>
            <w:hideMark/>
          </w:tcPr>
          <w:p w14:paraId="2D245C58" w14:textId="77777777" w:rsidR="00BF53B1" w:rsidRPr="00487553" w:rsidRDefault="00BF53B1">
            <w:pPr>
              <w:autoSpaceDE w:val="0"/>
              <w:autoSpaceDN w:val="0"/>
              <w:adjustRightInd w:val="0"/>
              <w:spacing w:before="29" w:line="300" w:lineRule="auto"/>
              <w:ind w:left="17"/>
              <w:jc w:val="center"/>
              <w:rPr>
                <w:rFonts w:asciiTheme="minorEastAsia" w:eastAsiaTheme="minorEastAsia" w:hAnsiTheme="minorEastAsia"/>
                <w:kern w:val="0"/>
              </w:rPr>
            </w:pPr>
            <w:r w:rsidRPr="00487553">
              <w:rPr>
                <w:rFonts w:asciiTheme="minorEastAsia" w:eastAsiaTheme="minorEastAsia" w:hAnsiTheme="minorEastAsia" w:hint="eastAsia"/>
                <w:kern w:val="0"/>
              </w:rPr>
              <w:t>金额（人民币元)</w:t>
            </w:r>
          </w:p>
        </w:tc>
      </w:tr>
      <w:tr w:rsidR="00BF53B1" w:rsidRPr="00487553" w14:paraId="2C88D868"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39D4CCE5"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kern w:val="0"/>
              </w:rPr>
            </w:pPr>
            <w:r w:rsidRPr="00487553">
              <w:rPr>
                <w:rFonts w:asciiTheme="minorEastAsia" w:eastAsiaTheme="minorEastAsia" w:hAnsiTheme="minorEastAsia" w:hint="eastAsi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C5483B"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存出保证金</w:t>
            </w:r>
          </w:p>
        </w:tc>
        <w:tc>
          <w:tcPr>
            <w:tcW w:w="4808" w:type="dxa"/>
            <w:tcBorders>
              <w:top w:val="single" w:sz="4" w:space="0" w:color="auto"/>
              <w:left w:val="single" w:sz="4" w:space="0" w:color="auto"/>
              <w:bottom w:val="single" w:sz="4" w:space="0" w:color="auto"/>
              <w:right w:val="single" w:sz="4" w:space="0" w:color="auto"/>
            </w:tcBorders>
            <w:vAlign w:val="center"/>
            <w:hideMark/>
          </w:tcPr>
          <w:p w14:paraId="3270CD83"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131,100.41</w:t>
            </w:r>
          </w:p>
        </w:tc>
      </w:tr>
      <w:tr w:rsidR="00BF53B1" w:rsidRPr="00487553" w14:paraId="7C417A7F"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18E2E201"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2</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304FA22"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应收证券清算款</w:t>
            </w:r>
          </w:p>
        </w:tc>
        <w:tc>
          <w:tcPr>
            <w:tcW w:w="4808" w:type="dxa"/>
            <w:tcBorders>
              <w:top w:val="single" w:sz="4" w:space="0" w:color="auto"/>
              <w:left w:val="single" w:sz="4" w:space="0" w:color="auto"/>
              <w:bottom w:val="single" w:sz="4" w:space="0" w:color="auto"/>
              <w:right w:val="single" w:sz="4" w:space="0" w:color="auto"/>
            </w:tcBorders>
            <w:vAlign w:val="center"/>
            <w:hideMark/>
          </w:tcPr>
          <w:p w14:paraId="00FCC5EB"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w:t>
            </w:r>
          </w:p>
        </w:tc>
      </w:tr>
      <w:tr w:rsidR="00BF53B1" w:rsidRPr="00487553" w14:paraId="094E2841"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770547D4"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0A198C3"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应收股利</w:t>
            </w:r>
          </w:p>
        </w:tc>
        <w:tc>
          <w:tcPr>
            <w:tcW w:w="4808" w:type="dxa"/>
            <w:tcBorders>
              <w:top w:val="single" w:sz="4" w:space="0" w:color="auto"/>
              <w:left w:val="single" w:sz="4" w:space="0" w:color="auto"/>
              <w:bottom w:val="single" w:sz="4" w:space="0" w:color="auto"/>
              <w:right w:val="single" w:sz="4" w:space="0" w:color="auto"/>
            </w:tcBorders>
            <w:vAlign w:val="center"/>
            <w:hideMark/>
          </w:tcPr>
          <w:p w14:paraId="726E3758"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w:t>
            </w:r>
          </w:p>
        </w:tc>
      </w:tr>
      <w:tr w:rsidR="00BF53B1" w:rsidRPr="00487553" w14:paraId="4583723B"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166AEDB4"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4</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F2DCCB0"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应收利息</w:t>
            </w:r>
          </w:p>
        </w:tc>
        <w:tc>
          <w:tcPr>
            <w:tcW w:w="4808" w:type="dxa"/>
            <w:tcBorders>
              <w:top w:val="single" w:sz="4" w:space="0" w:color="auto"/>
              <w:left w:val="single" w:sz="4" w:space="0" w:color="auto"/>
              <w:bottom w:val="single" w:sz="4" w:space="0" w:color="auto"/>
              <w:right w:val="single" w:sz="4" w:space="0" w:color="auto"/>
            </w:tcBorders>
            <w:vAlign w:val="center"/>
            <w:hideMark/>
          </w:tcPr>
          <w:p w14:paraId="3B123B8D"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6,791.55</w:t>
            </w:r>
          </w:p>
        </w:tc>
      </w:tr>
      <w:tr w:rsidR="00BF53B1" w:rsidRPr="00487553" w14:paraId="5CC608FB"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5EC20B63"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5</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53BB985"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应收申购款</w:t>
            </w:r>
          </w:p>
        </w:tc>
        <w:tc>
          <w:tcPr>
            <w:tcW w:w="4808" w:type="dxa"/>
            <w:tcBorders>
              <w:top w:val="single" w:sz="4" w:space="0" w:color="auto"/>
              <w:left w:val="single" w:sz="4" w:space="0" w:color="auto"/>
              <w:bottom w:val="single" w:sz="4" w:space="0" w:color="auto"/>
              <w:right w:val="single" w:sz="4" w:space="0" w:color="auto"/>
            </w:tcBorders>
            <w:vAlign w:val="center"/>
            <w:hideMark/>
          </w:tcPr>
          <w:p w14:paraId="6F48F403"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611,396.45</w:t>
            </w:r>
          </w:p>
        </w:tc>
      </w:tr>
      <w:tr w:rsidR="00BF53B1" w:rsidRPr="00487553" w14:paraId="364BD087"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3453629F"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6</w:t>
            </w:r>
          </w:p>
        </w:tc>
        <w:tc>
          <w:tcPr>
            <w:tcW w:w="2903" w:type="dxa"/>
            <w:tcBorders>
              <w:top w:val="single" w:sz="4" w:space="0" w:color="auto"/>
              <w:left w:val="single" w:sz="4" w:space="0" w:color="auto"/>
              <w:bottom w:val="single" w:sz="4" w:space="0" w:color="auto"/>
              <w:right w:val="single" w:sz="4" w:space="0" w:color="auto"/>
            </w:tcBorders>
            <w:vAlign w:val="center"/>
            <w:hideMark/>
          </w:tcPr>
          <w:p w14:paraId="7DFB34A4"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其他应收款</w:t>
            </w:r>
          </w:p>
        </w:tc>
        <w:tc>
          <w:tcPr>
            <w:tcW w:w="4808" w:type="dxa"/>
            <w:tcBorders>
              <w:top w:val="single" w:sz="4" w:space="0" w:color="auto"/>
              <w:left w:val="single" w:sz="4" w:space="0" w:color="auto"/>
              <w:bottom w:val="single" w:sz="4" w:space="0" w:color="auto"/>
              <w:right w:val="single" w:sz="4" w:space="0" w:color="auto"/>
            </w:tcBorders>
            <w:vAlign w:val="center"/>
            <w:hideMark/>
          </w:tcPr>
          <w:p w14:paraId="291F7157"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w:t>
            </w:r>
          </w:p>
        </w:tc>
      </w:tr>
      <w:tr w:rsidR="00BF53B1" w:rsidRPr="00487553" w14:paraId="71AB1693"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158B8E2E"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7</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DA4AF6"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rPr>
            </w:pPr>
            <w:r w:rsidRPr="00487553">
              <w:rPr>
                <w:rFonts w:asciiTheme="minorEastAsia" w:eastAsiaTheme="minorEastAsia" w:hAnsiTheme="minorEastAsia" w:hint="eastAsia"/>
              </w:rPr>
              <w:t>待摊费用</w:t>
            </w:r>
          </w:p>
        </w:tc>
        <w:tc>
          <w:tcPr>
            <w:tcW w:w="4808" w:type="dxa"/>
            <w:tcBorders>
              <w:top w:val="single" w:sz="4" w:space="0" w:color="auto"/>
              <w:left w:val="single" w:sz="4" w:space="0" w:color="auto"/>
              <w:bottom w:val="single" w:sz="4" w:space="0" w:color="auto"/>
              <w:right w:val="single" w:sz="4" w:space="0" w:color="auto"/>
            </w:tcBorders>
            <w:vAlign w:val="center"/>
            <w:hideMark/>
          </w:tcPr>
          <w:p w14:paraId="427A8773"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rPr>
            </w:pPr>
            <w:r w:rsidRPr="00487553">
              <w:rPr>
                <w:rFonts w:asciiTheme="minorEastAsia" w:eastAsiaTheme="minorEastAsia" w:hAnsiTheme="minorEastAsia" w:hint="eastAsia"/>
              </w:rPr>
              <w:t>-</w:t>
            </w:r>
          </w:p>
        </w:tc>
      </w:tr>
      <w:tr w:rsidR="00BF53B1" w:rsidRPr="00487553" w14:paraId="01B8C640"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4B8DF066"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8</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F4C6195"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其他</w:t>
            </w:r>
          </w:p>
        </w:tc>
        <w:tc>
          <w:tcPr>
            <w:tcW w:w="4808" w:type="dxa"/>
            <w:tcBorders>
              <w:top w:val="single" w:sz="4" w:space="0" w:color="auto"/>
              <w:left w:val="single" w:sz="4" w:space="0" w:color="auto"/>
              <w:bottom w:val="single" w:sz="4" w:space="0" w:color="auto"/>
              <w:right w:val="single" w:sz="4" w:space="0" w:color="auto"/>
            </w:tcBorders>
            <w:vAlign w:val="center"/>
            <w:hideMark/>
          </w:tcPr>
          <w:p w14:paraId="50485384"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w:t>
            </w:r>
          </w:p>
        </w:tc>
      </w:tr>
      <w:tr w:rsidR="00BF53B1" w:rsidRPr="00487553" w14:paraId="09EFC72F" w14:textId="77777777" w:rsidTr="00BF53B1">
        <w:tc>
          <w:tcPr>
            <w:tcW w:w="802" w:type="dxa"/>
            <w:tcBorders>
              <w:top w:val="single" w:sz="4" w:space="0" w:color="auto"/>
              <w:left w:val="single" w:sz="4" w:space="0" w:color="auto"/>
              <w:bottom w:val="single" w:sz="4" w:space="0" w:color="auto"/>
              <w:right w:val="single" w:sz="4" w:space="0" w:color="auto"/>
            </w:tcBorders>
            <w:vAlign w:val="center"/>
            <w:hideMark/>
          </w:tcPr>
          <w:p w14:paraId="289A29D1" w14:textId="77777777" w:rsidR="00BF53B1" w:rsidRPr="00487553" w:rsidRDefault="00BF53B1">
            <w:pPr>
              <w:autoSpaceDE w:val="0"/>
              <w:autoSpaceDN w:val="0"/>
              <w:adjustRightInd w:val="0"/>
              <w:spacing w:before="29" w:line="300" w:lineRule="auto"/>
              <w:ind w:left="15"/>
              <w:jc w:val="center"/>
              <w:rPr>
                <w:rFonts w:asciiTheme="minorEastAsia" w:eastAsiaTheme="minorEastAsia" w:hAnsiTheme="minorEastAsia"/>
              </w:rPr>
            </w:pPr>
            <w:r w:rsidRPr="00487553">
              <w:rPr>
                <w:rFonts w:asciiTheme="minorEastAsia" w:eastAsiaTheme="minorEastAsia" w:hAnsiTheme="minorEastAsia" w:hint="eastAsia"/>
              </w:rPr>
              <w:t>9</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D4302FB" w14:textId="77777777" w:rsidR="00BF53B1" w:rsidRPr="00487553" w:rsidRDefault="00BF53B1">
            <w:pPr>
              <w:autoSpaceDE w:val="0"/>
              <w:autoSpaceDN w:val="0"/>
              <w:adjustRightInd w:val="0"/>
              <w:spacing w:before="29" w:line="300" w:lineRule="auto"/>
              <w:ind w:left="15"/>
              <w:jc w:val="left"/>
              <w:rPr>
                <w:rFonts w:asciiTheme="minorEastAsia" w:eastAsiaTheme="minorEastAsia" w:hAnsiTheme="minorEastAsia"/>
                <w:kern w:val="0"/>
              </w:rPr>
            </w:pPr>
            <w:r w:rsidRPr="00487553">
              <w:rPr>
                <w:rFonts w:asciiTheme="minorEastAsia" w:eastAsiaTheme="minorEastAsia" w:hAnsiTheme="minorEastAsia" w:hint="eastAsia"/>
                <w:kern w:val="0"/>
              </w:rPr>
              <w:t>合计</w:t>
            </w:r>
          </w:p>
        </w:tc>
        <w:tc>
          <w:tcPr>
            <w:tcW w:w="4808" w:type="dxa"/>
            <w:tcBorders>
              <w:top w:val="single" w:sz="4" w:space="0" w:color="auto"/>
              <w:left w:val="single" w:sz="4" w:space="0" w:color="auto"/>
              <w:bottom w:val="single" w:sz="4" w:space="0" w:color="auto"/>
              <w:right w:val="single" w:sz="4" w:space="0" w:color="auto"/>
            </w:tcBorders>
            <w:vAlign w:val="center"/>
            <w:hideMark/>
          </w:tcPr>
          <w:p w14:paraId="4ED62FAC" w14:textId="77777777" w:rsidR="00BF53B1" w:rsidRPr="00487553" w:rsidRDefault="00BF53B1">
            <w:pPr>
              <w:autoSpaceDE w:val="0"/>
              <w:autoSpaceDN w:val="0"/>
              <w:adjustRightInd w:val="0"/>
              <w:spacing w:before="29" w:line="300" w:lineRule="auto"/>
              <w:ind w:left="15"/>
              <w:jc w:val="right"/>
              <w:rPr>
                <w:rFonts w:asciiTheme="minorEastAsia" w:eastAsiaTheme="minorEastAsia" w:hAnsiTheme="minorEastAsia"/>
                <w:kern w:val="0"/>
              </w:rPr>
            </w:pPr>
            <w:r w:rsidRPr="00487553">
              <w:rPr>
                <w:rFonts w:asciiTheme="minorEastAsia" w:eastAsiaTheme="minorEastAsia" w:hAnsiTheme="minorEastAsia" w:hint="eastAsia"/>
                <w:kern w:val="0"/>
              </w:rPr>
              <w:t>749,288.41</w:t>
            </w:r>
          </w:p>
        </w:tc>
      </w:tr>
    </w:tbl>
    <w:p w14:paraId="4EB9068D"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（4）报告期末持有的处于转股期的可转换债券明细</w:t>
      </w:r>
    </w:p>
    <w:p w14:paraId="2B3D3D12"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本基金本报告期末未持有处于转股期的可转换债券。</w:t>
      </w:r>
    </w:p>
    <w:p w14:paraId="675C99F4"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（5）报告期末前十名股票中存在流通受限情况的说明</w:t>
      </w:r>
    </w:p>
    <w:p w14:paraId="668B0B3E" w14:textId="77777777" w:rsidR="00BF53B1" w:rsidRPr="00487553" w:rsidRDefault="00BF53B1" w:rsidP="00487553">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本基金本报告期末未持有股票。</w:t>
      </w:r>
    </w:p>
    <w:p w14:paraId="7F3B2F0C" w14:textId="77777777" w:rsidR="00BF53B1" w:rsidRPr="00487553" w:rsidRDefault="00BF53B1" w:rsidP="00BF53B1">
      <w:pPr>
        <w:spacing w:line="300" w:lineRule="auto"/>
        <w:rPr>
          <w:rFonts w:asciiTheme="minorEastAsia" w:eastAsiaTheme="minorEastAsia" w:hAnsiTheme="minorEastAsia" w:cstheme="minorBidi"/>
        </w:rPr>
      </w:pPr>
    </w:p>
    <w:p w14:paraId="163EAB30" w14:textId="51D14717" w:rsidR="00B0324F" w:rsidRPr="00487553" w:rsidRDefault="00B0324F"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98" w:name="_Toc349225719"/>
      <w:bookmarkStart w:id="199" w:name="_Toc20148425"/>
      <w:r w:rsidRPr="00487553">
        <w:rPr>
          <w:rFonts w:asciiTheme="minorEastAsia" w:eastAsiaTheme="minorEastAsia" w:hAnsiTheme="minorEastAsia"/>
        </w:rPr>
        <w:lastRenderedPageBreak/>
        <w:t>基金</w:t>
      </w:r>
      <w:r w:rsidRPr="00487553">
        <w:rPr>
          <w:rFonts w:asciiTheme="minorEastAsia" w:eastAsiaTheme="minorEastAsia" w:hAnsiTheme="minorEastAsia" w:hint="eastAsia"/>
        </w:rPr>
        <w:t>的业绩</w:t>
      </w:r>
      <w:bookmarkEnd w:id="198"/>
      <w:bookmarkEnd w:id="199"/>
    </w:p>
    <w:p w14:paraId="7D3A03FC" w14:textId="77777777" w:rsidR="00B0324F" w:rsidRPr="00487553" w:rsidRDefault="00B0324F"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基金管理人依照恪尽职守、诚实信用、谨慎勤勉的原则管理和运用基金财产，但不保证基金一定盈利，也不保证最低收益。基金的过往业绩并不代表其未来表现。投资有风险，投资者在</w:t>
      </w:r>
      <w:r w:rsidRPr="00487553">
        <w:rPr>
          <w:rFonts w:asciiTheme="minorEastAsia" w:eastAsiaTheme="minorEastAsia" w:hAnsiTheme="minorEastAsia" w:hint="eastAsia"/>
        </w:rPr>
        <w:t>作出</w:t>
      </w:r>
      <w:r w:rsidRPr="00487553">
        <w:rPr>
          <w:rFonts w:asciiTheme="minorEastAsia" w:eastAsiaTheme="minorEastAsia" w:hAnsiTheme="minorEastAsia"/>
        </w:rPr>
        <w:t>投资决策前应仔细阅读本基金的招募说明书。</w:t>
      </w:r>
    </w:p>
    <w:p w14:paraId="35B7D98D" w14:textId="78E9A81D" w:rsidR="00B0324F" w:rsidRPr="00487553" w:rsidRDefault="00B0324F" w:rsidP="00D94E68">
      <w:pPr>
        <w:autoSpaceDE w:val="0"/>
        <w:autoSpaceDN w:val="0"/>
        <w:adjustRightInd w:val="0"/>
        <w:snapToGrid w:val="0"/>
        <w:spacing w:line="360" w:lineRule="auto"/>
        <w:ind w:firstLine="420"/>
        <w:jc w:val="left"/>
        <w:rPr>
          <w:rFonts w:asciiTheme="minorEastAsia" w:eastAsiaTheme="minorEastAsia" w:hAnsiTheme="minorEastAsia"/>
          <w:szCs w:val="21"/>
        </w:rPr>
      </w:pPr>
      <w:r w:rsidRPr="00487553">
        <w:rPr>
          <w:rFonts w:asciiTheme="minorEastAsia" w:eastAsiaTheme="minorEastAsia" w:hAnsiTheme="minorEastAsia" w:hint="eastAsia"/>
        </w:rPr>
        <w:t>本基金</w:t>
      </w:r>
      <w:r w:rsidRPr="00487553">
        <w:rPr>
          <w:rFonts w:asciiTheme="minorEastAsia" w:eastAsiaTheme="minorEastAsia" w:hAnsiTheme="minorEastAsia" w:hint="eastAsia"/>
          <w:szCs w:val="21"/>
        </w:rPr>
        <w:t>合同生效日为2012年8月21日，</w:t>
      </w:r>
      <w:r w:rsidR="00BF53B1" w:rsidRPr="00487553">
        <w:rPr>
          <w:rFonts w:asciiTheme="minorEastAsia" w:eastAsiaTheme="minorEastAsia" w:hAnsiTheme="minorEastAsia" w:hint="eastAsia"/>
          <w:szCs w:val="21"/>
        </w:rPr>
        <w:t>基金合同生效以来（截至2019年6月30日）的投资业绩及与同期基准的比较如下表所示</w:t>
      </w:r>
      <w:r w:rsidR="00661E9A" w:rsidRPr="00487553">
        <w:rPr>
          <w:rFonts w:asciiTheme="minorEastAsia" w:eastAsiaTheme="minorEastAsia" w:hAnsiTheme="minorEastAsia" w:hint="eastAsia"/>
          <w:szCs w:val="21"/>
        </w:rPr>
        <w:t>：</w:t>
      </w:r>
    </w:p>
    <w:p w14:paraId="6921CB90" w14:textId="3FD92B1B" w:rsidR="00203F5D" w:rsidRPr="00487553" w:rsidRDefault="00203F5D" w:rsidP="00A86751">
      <w:pPr>
        <w:autoSpaceDE w:val="0"/>
        <w:autoSpaceDN w:val="0"/>
        <w:adjustRightInd w:val="0"/>
        <w:snapToGrid w:val="0"/>
        <w:spacing w:line="360" w:lineRule="auto"/>
        <w:ind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1、易方达恒生国企联接人民币A类基金份额净值增长率与同期业绩比较基准收益率比较</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1147"/>
        <w:gridCol w:w="1193"/>
        <w:gridCol w:w="1300"/>
        <w:gridCol w:w="1400"/>
        <w:gridCol w:w="1080"/>
        <w:gridCol w:w="1080"/>
      </w:tblGrid>
      <w:tr w:rsidR="0008306D" w:rsidRPr="00487553" w14:paraId="5E0006A0" w14:textId="77777777" w:rsidTr="00E213A6">
        <w:trPr>
          <w:trHeight w:val="315"/>
          <w:jc w:val="center"/>
        </w:trPr>
        <w:tc>
          <w:tcPr>
            <w:tcW w:w="1568" w:type="dxa"/>
          </w:tcPr>
          <w:p w14:paraId="508B4F3E" w14:textId="77777777" w:rsidR="00B0324F" w:rsidRPr="00487553" w:rsidRDefault="00B0324F" w:rsidP="00D94E68">
            <w:pPr>
              <w:tabs>
                <w:tab w:val="left" w:pos="5400"/>
              </w:tabs>
              <w:snapToGrid w:val="0"/>
              <w:spacing w:line="360" w:lineRule="auto"/>
              <w:ind w:firstLine="420"/>
              <w:jc w:val="center"/>
              <w:rPr>
                <w:rFonts w:asciiTheme="minorEastAsia" w:eastAsiaTheme="minorEastAsia" w:hAnsiTheme="minorEastAsia"/>
                <w:szCs w:val="21"/>
              </w:rPr>
            </w:pPr>
          </w:p>
          <w:p w14:paraId="0B6BE800" w14:textId="77777777" w:rsidR="00B0324F" w:rsidRPr="00487553" w:rsidRDefault="00B0324F" w:rsidP="00D94E68">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阶段</w:t>
            </w:r>
          </w:p>
        </w:tc>
        <w:tc>
          <w:tcPr>
            <w:tcW w:w="1147" w:type="dxa"/>
          </w:tcPr>
          <w:p w14:paraId="45AFFFBF" w14:textId="77777777" w:rsidR="00B0324F" w:rsidRPr="00487553" w:rsidRDefault="00B0324F"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净值增长率①</w:t>
            </w:r>
          </w:p>
        </w:tc>
        <w:tc>
          <w:tcPr>
            <w:tcW w:w="1193" w:type="dxa"/>
          </w:tcPr>
          <w:p w14:paraId="0BF321A0" w14:textId="77777777" w:rsidR="00B0324F" w:rsidRPr="00487553" w:rsidRDefault="00B0324F"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净值增长率标准差②</w:t>
            </w:r>
          </w:p>
        </w:tc>
        <w:tc>
          <w:tcPr>
            <w:tcW w:w="1300" w:type="dxa"/>
          </w:tcPr>
          <w:p w14:paraId="095DA56F" w14:textId="77777777" w:rsidR="00B0324F" w:rsidRPr="00487553" w:rsidRDefault="00B0324F"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业绩比较基准收益率③</w:t>
            </w:r>
          </w:p>
        </w:tc>
        <w:tc>
          <w:tcPr>
            <w:tcW w:w="1400" w:type="dxa"/>
          </w:tcPr>
          <w:p w14:paraId="68A0508A" w14:textId="77777777" w:rsidR="00B0324F" w:rsidRPr="00487553" w:rsidRDefault="00B0324F"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业绩比较基准收益率标准差④</w:t>
            </w:r>
          </w:p>
        </w:tc>
        <w:tc>
          <w:tcPr>
            <w:tcW w:w="1080" w:type="dxa"/>
          </w:tcPr>
          <w:p w14:paraId="693EA754" w14:textId="77777777" w:rsidR="00B0324F" w:rsidRPr="00487553" w:rsidRDefault="00B0324F" w:rsidP="00D94E68">
            <w:pPr>
              <w:tabs>
                <w:tab w:val="left" w:pos="5400"/>
              </w:tabs>
              <w:snapToGrid w:val="0"/>
              <w:spacing w:line="360" w:lineRule="auto"/>
              <w:ind w:firstLine="420"/>
              <w:jc w:val="center"/>
              <w:rPr>
                <w:rFonts w:asciiTheme="minorEastAsia" w:eastAsiaTheme="minorEastAsia" w:hAnsiTheme="minorEastAsia"/>
                <w:szCs w:val="21"/>
              </w:rPr>
            </w:pPr>
          </w:p>
          <w:p w14:paraId="23A6429E" w14:textId="77777777" w:rsidR="00B0324F" w:rsidRPr="00487553" w:rsidRDefault="00B0324F" w:rsidP="00D94E68">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①-③</w:t>
            </w:r>
          </w:p>
        </w:tc>
        <w:tc>
          <w:tcPr>
            <w:tcW w:w="1080" w:type="dxa"/>
          </w:tcPr>
          <w:p w14:paraId="3C567FF7" w14:textId="77777777" w:rsidR="00B0324F" w:rsidRPr="00487553" w:rsidRDefault="00B0324F" w:rsidP="00D94E68">
            <w:pPr>
              <w:tabs>
                <w:tab w:val="left" w:pos="5400"/>
              </w:tabs>
              <w:snapToGrid w:val="0"/>
              <w:spacing w:line="360" w:lineRule="auto"/>
              <w:ind w:firstLine="420"/>
              <w:jc w:val="center"/>
              <w:rPr>
                <w:rFonts w:asciiTheme="minorEastAsia" w:eastAsiaTheme="minorEastAsia" w:hAnsiTheme="minorEastAsia"/>
                <w:szCs w:val="21"/>
              </w:rPr>
            </w:pPr>
          </w:p>
          <w:p w14:paraId="5D77F507" w14:textId="77777777" w:rsidR="00B0324F" w:rsidRPr="00487553" w:rsidRDefault="00B0324F" w:rsidP="00D94E68">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②-④</w:t>
            </w:r>
          </w:p>
        </w:tc>
      </w:tr>
      <w:tr w:rsidR="0008306D" w:rsidRPr="00487553" w14:paraId="63E0B4A4" w14:textId="77777777" w:rsidTr="00E213A6">
        <w:trPr>
          <w:trHeight w:val="495"/>
          <w:jc w:val="center"/>
        </w:trPr>
        <w:tc>
          <w:tcPr>
            <w:tcW w:w="1568" w:type="dxa"/>
          </w:tcPr>
          <w:p w14:paraId="420B1658" w14:textId="77777777" w:rsidR="00BC5B1B" w:rsidRPr="00487553" w:rsidRDefault="00692655"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自</w:t>
            </w:r>
            <w:r w:rsidR="00BC5B1B" w:rsidRPr="00487553">
              <w:rPr>
                <w:rFonts w:asciiTheme="minorEastAsia" w:eastAsiaTheme="minorEastAsia" w:hAnsiTheme="minorEastAsia" w:hint="eastAsia"/>
                <w:szCs w:val="21"/>
              </w:rPr>
              <w:t>基金合同生效</w:t>
            </w:r>
            <w:r w:rsidRPr="00487553">
              <w:rPr>
                <w:rFonts w:asciiTheme="minorEastAsia" w:eastAsiaTheme="minorEastAsia" w:hAnsiTheme="minorEastAsia" w:hint="eastAsia"/>
                <w:szCs w:val="21"/>
              </w:rPr>
              <w:t>日</w:t>
            </w:r>
            <w:r w:rsidR="00BC5B1B" w:rsidRPr="00487553">
              <w:rPr>
                <w:rFonts w:asciiTheme="minorEastAsia" w:eastAsiaTheme="minorEastAsia" w:hAnsiTheme="minorEastAsia" w:hint="eastAsia"/>
                <w:szCs w:val="21"/>
              </w:rPr>
              <w:t>至2012年12月31日</w:t>
            </w:r>
          </w:p>
        </w:tc>
        <w:tc>
          <w:tcPr>
            <w:tcW w:w="1147" w:type="dxa"/>
            <w:vAlign w:val="center"/>
          </w:tcPr>
          <w:p w14:paraId="3E650F3A" w14:textId="77777777" w:rsidR="00BC5B1B" w:rsidRPr="00487553" w:rsidRDefault="00BC5B1B" w:rsidP="00D94E68">
            <w:pPr>
              <w:snapToGrid w:val="0"/>
              <w:spacing w:line="360" w:lineRule="auto"/>
              <w:ind w:leftChars="-65" w:left="-136"/>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7.68%</w:t>
            </w:r>
          </w:p>
        </w:tc>
        <w:tc>
          <w:tcPr>
            <w:tcW w:w="1193" w:type="dxa"/>
            <w:vAlign w:val="center"/>
          </w:tcPr>
          <w:p w14:paraId="4605F511" w14:textId="77777777" w:rsidR="00BC5B1B" w:rsidRPr="00487553" w:rsidRDefault="00BC5B1B" w:rsidP="00D94E68">
            <w:pPr>
              <w:snapToGrid w:val="0"/>
              <w:spacing w:line="360" w:lineRule="auto"/>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0.61%</w:t>
            </w:r>
          </w:p>
        </w:tc>
        <w:tc>
          <w:tcPr>
            <w:tcW w:w="1300" w:type="dxa"/>
            <w:vAlign w:val="center"/>
          </w:tcPr>
          <w:p w14:paraId="6D977493" w14:textId="77777777" w:rsidR="00BC5B1B" w:rsidRPr="00487553" w:rsidRDefault="00BC5B1B" w:rsidP="00D94E68">
            <w:pPr>
              <w:snapToGrid w:val="0"/>
              <w:spacing w:line="360" w:lineRule="auto"/>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14.89%</w:t>
            </w:r>
          </w:p>
        </w:tc>
        <w:tc>
          <w:tcPr>
            <w:tcW w:w="1400" w:type="dxa"/>
            <w:vAlign w:val="center"/>
          </w:tcPr>
          <w:p w14:paraId="66601EB7" w14:textId="77777777" w:rsidR="00BC5B1B" w:rsidRPr="00487553" w:rsidRDefault="00BC5B1B" w:rsidP="00D94E68">
            <w:pPr>
              <w:snapToGrid w:val="0"/>
              <w:spacing w:line="360" w:lineRule="auto"/>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1.17%</w:t>
            </w:r>
          </w:p>
        </w:tc>
        <w:tc>
          <w:tcPr>
            <w:tcW w:w="1080" w:type="dxa"/>
            <w:vAlign w:val="center"/>
          </w:tcPr>
          <w:p w14:paraId="1087414D" w14:textId="77777777" w:rsidR="00BC5B1B" w:rsidRPr="00487553" w:rsidRDefault="00BC5B1B" w:rsidP="00D94E68">
            <w:pPr>
              <w:snapToGrid w:val="0"/>
              <w:spacing w:line="360" w:lineRule="auto"/>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-7.21%</w:t>
            </w:r>
          </w:p>
        </w:tc>
        <w:tc>
          <w:tcPr>
            <w:tcW w:w="1080" w:type="dxa"/>
            <w:vAlign w:val="center"/>
          </w:tcPr>
          <w:p w14:paraId="2FE0F340" w14:textId="77777777" w:rsidR="00BC5B1B" w:rsidRPr="00487553" w:rsidRDefault="00BC5B1B" w:rsidP="00D94E68">
            <w:pPr>
              <w:snapToGrid w:val="0"/>
              <w:spacing w:line="360" w:lineRule="auto"/>
              <w:jc w:val="right"/>
              <w:rPr>
                <w:rFonts w:asciiTheme="minorEastAsia" w:eastAsiaTheme="minorEastAsia" w:hAnsiTheme="minorEastAsia" w:cs="Arial Unicode MS"/>
                <w:szCs w:val="21"/>
              </w:rPr>
            </w:pPr>
            <w:r w:rsidRPr="00487553">
              <w:rPr>
                <w:rFonts w:asciiTheme="minorEastAsia" w:eastAsiaTheme="minorEastAsia" w:hAnsiTheme="minorEastAsia"/>
                <w:szCs w:val="21"/>
              </w:rPr>
              <w:t>-0.56%</w:t>
            </w:r>
          </w:p>
        </w:tc>
      </w:tr>
      <w:tr w:rsidR="0008306D" w:rsidRPr="00487553" w14:paraId="41FFA830" w14:textId="77777777" w:rsidTr="00E213A6">
        <w:trPr>
          <w:trHeight w:val="495"/>
          <w:jc w:val="center"/>
        </w:trPr>
        <w:tc>
          <w:tcPr>
            <w:tcW w:w="1568" w:type="dxa"/>
          </w:tcPr>
          <w:p w14:paraId="3E7EE1FA" w14:textId="77777777" w:rsidR="00AD5EA7" w:rsidRPr="00487553" w:rsidRDefault="00AD5EA7"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2013年1月1日至2013年12月31日</w:t>
            </w:r>
          </w:p>
        </w:tc>
        <w:tc>
          <w:tcPr>
            <w:tcW w:w="1147" w:type="dxa"/>
            <w:vAlign w:val="center"/>
          </w:tcPr>
          <w:p w14:paraId="24B00AF7" w14:textId="77777777" w:rsidR="00AD5EA7" w:rsidRPr="00487553" w:rsidRDefault="00AD5EA7" w:rsidP="00D94E68">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hint="eastAsia"/>
                <w:szCs w:val="21"/>
              </w:rPr>
              <w:t>-6.85%</w:t>
            </w:r>
          </w:p>
        </w:tc>
        <w:tc>
          <w:tcPr>
            <w:tcW w:w="1193" w:type="dxa"/>
            <w:vAlign w:val="center"/>
          </w:tcPr>
          <w:p w14:paraId="10A162BA" w14:textId="77777777" w:rsidR="00AD5EA7" w:rsidRPr="00487553" w:rsidRDefault="00AD5EA7"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1.28%</w:t>
            </w:r>
          </w:p>
        </w:tc>
        <w:tc>
          <w:tcPr>
            <w:tcW w:w="1300" w:type="dxa"/>
            <w:vAlign w:val="center"/>
          </w:tcPr>
          <w:p w14:paraId="1A552781" w14:textId="77777777" w:rsidR="00AD5EA7" w:rsidRPr="00487553" w:rsidRDefault="00AD5EA7"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-7.78%</w:t>
            </w:r>
          </w:p>
        </w:tc>
        <w:tc>
          <w:tcPr>
            <w:tcW w:w="1400" w:type="dxa"/>
            <w:vAlign w:val="center"/>
          </w:tcPr>
          <w:p w14:paraId="4FD9409A" w14:textId="77777777" w:rsidR="00AD5EA7" w:rsidRPr="00487553" w:rsidRDefault="00AD5EA7"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1.35%</w:t>
            </w:r>
          </w:p>
        </w:tc>
        <w:tc>
          <w:tcPr>
            <w:tcW w:w="1080" w:type="dxa"/>
            <w:vAlign w:val="center"/>
          </w:tcPr>
          <w:p w14:paraId="5C902B63" w14:textId="77777777" w:rsidR="00AD5EA7" w:rsidRPr="00487553" w:rsidRDefault="00AD5EA7"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0.93%</w:t>
            </w:r>
          </w:p>
        </w:tc>
        <w:tc>
          <w:tcPr>
            <w:tcW w:w="1080" w:type="dxa"/>
            <w:vAlign w:val="center"/>
          </w:tcPr>
          <w:p w14:paraId="21DD4DD5" w14:textId="77777777" w:rsidR="00AD5EA7" w:rsidRPr="00487553" w:rsidRDefault="00AD5EA7"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-0.07%</w:t>
            </w:r>
          </w:p>
        </w:tc>
      </w:tr>
      <w:tr w:rsidR="0008306D" w:rsidRPr="00487553" w14:paraId="2728BD16" w14:textId="77777777" w:rsidTr="00E213A6">
        <w:trPr>
          <w:trHeight w:val="495"/>
          <w:jc w:val="center"/>
        </w:trPr>
        <w:tc>
          <w:tcPr>
            <w:tcW w:w="1568" w:type="dxa"/>
          </w:tcPr>
          <w:p w14:paraId="07E4220B" w14:textId="77777777" w:rsidR="0005202E" w:rsidRPr="00487553" w:rsidRDefault="0005202E"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2014年1月1日至2014年12月31日</w:t>
            </w:r>
          </w:p>
        </w:tc>
        <w:tc>
          <w:tcPr>
            <w:tcW w:w="1147" w:type="dxa"/>
            <w:vAlign w:val="center"/>
          </w:tcPr>
          <w:p w14:paraId="55FAA2FD" w14:textId="77777777" w:rsidR="0005202E" w:rsidRPr="00487553" w:rsidRDefault="0005202E" w:rsidP="00D94E68">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hint="eastAsia"/>
                <w:szCs w:val="21"/>
              </w:rPr>
              <w:t>12.66%</w:t>
            </w:r>
          </w:p>
        </w:tc>
        <w:tc>
          <w:tcPr>
            <w:tcW w:w="1193" w:type="dxa"/>
            <w:vAlign w:val="center"/>
          </w:tcPr>
          <w:p w14:paraId="0B4B9716" w14:textId="77777777" w:rsidR="0005202E" w:rsidRPr="00487553" w:rsidRDefault="0005202E"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1.10%</w:t>
            </w:r>
          </w:p>
        </w:tc>
        <w:tc>
          <w:tcPr>
            <w:tcW w:w="1300" w:type="dxa"/>
            <w:vAlign w:val="center"/>
          </w:tcPr>
          <w:p w14:paraId="6DEFCBEE" w14:textId="77777777" w:rsidR="0005202E" w:rsidRPr="00487553" w:rsidRDefault="0005202E"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10.70%</w:t>
            </w:r>
          </w:p>
        </w:tc>
        <w:tc>
          <w:tcPr>
            <w:tcW w:w="1400" w:type="dxa"/>
            <w:vAlign w:val="center"/>
          </w:tcPr>
          <w:p w14:paraId="236F585B" w14:textId="77777777" w:rsidR="0005202E" w:rsidRPr="00487553" w:rsidRDefault="0005202E"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1.13%</w:t>
            </w:r>
          </w:p>
        </w:tc>
        <w:tc>
          <w:tcPr>
            <w:tcW w:w="1080" w:type="dxa"/>
            <w:vAlign w:val="center"/>
          </w:tcPr>
          <w:p w14:paraId="019D6E4F" w14:textId="77777777" w:rsidR="0005202E" w:rsidRPr="00487553" w:rsidRDefault="0005202E"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1.96%</w:t>
            </w:r>
          </w:p>
        </w:tc>
        <w:tc>
          <w:tcPr>
            <w:tcW w:w="1080" w:type="dxa"/>
            <w:vAlign w:val="center"/>
          </w:tcPr>
          <w:p w14:paraId="0F9D789C" w14:textId="77777777" w:rsidR="0005202E" w:rsidRPr="00487553" w:rsidRDefault="0005202E"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-0.03%</w:t>
            </w:r>
          </w:p>
        </w:tc>
      </w:tr>
      <w:tr w:rsidR="0008306D" w:rsidRPr="00487553" w14:paraId="3B3147C8" w14:textId="77777777" w:rsidTr="00E213A6">
        <w:trPr>
          <w:trHeight w:val="495"/>
          <w:jc w:val="center"/>
        </w:trPr>
        <w:tc>
          <w:tcPr>
            <w:tcW w:w="1568" w:type="dxa"/>
          </w:tcPr>
          <w:p w14:paraId="60EAADC0" w14:textId="77777777" w:rsidR="003E3F9A" w:rsidRPr="00487553" w:rsidRDefault="003E3F9A" w:rsidP="00D94E68">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2015年1月1日至2015年12月31日</w:t>
            </w:r>
          </w:p>
        </w:tc>
        <w:tc>
          <w:tcPr>
            <w:tcW w:w="1147" w:type="dxa"/>
            <w:vAlign w:val="center"/>
          </w:tcPr>
          <w:p w14:paraId="26187C26" w14:textId="77777777" w:rsidR="003E3F9A" w:rsidRPr="00487553" w:rsidRDefault="003E3F9A" w:rsidP="00D94E68">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hint="eastAsia"/>
                <w:szCs w:val="21"/>
              </w:rPr>
              <w:t>-14.48%</w:t>
            </w:r>
          </w:p>
        </w:tc>
        <w:tc>
          <w:tcPr>
            <w:tcW w:w="1193" w:type="dxa"/>
            <w:vAlign w:val="center"/>
          </w:tcPr>
          <w:p w14:paraId="145F946D" w14:textId="77777777" w:rsidR="003E3F9A" w:rsidRPr="00487553" w:rsidRDefault="003E3F9A"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1.64%</w:t>
            </w:r>
          </w:p>
        </w:tc>
        <w:tc>
          <w:tcPr>
            <w:tcW w:w="1300" w:type="dxa"/>
            <w:vAlign w:val="center"/>
          </w:tcPr>
          <w:p w14:paraId="31CDCC2D" w14:textId="77777777" w:rsidR="003E3F9A" w:rsidRPr="00487553" w:rsidRDefault="003E3F9A"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-13.55%</w:t>
            </w:r>
          </w:p>
        </w:tc>
        <w:tc>
          <w:tcPr>
            <w:tcW w:w="1400" w:type="dxa"/>
            <w:vAlign w:val="center"/>
          </w:tcPr>
          <w:p w14:paraId="3F1EA520" w14:textId="77777777" w:rsidR="003E3F9A" w:rsidRPr="00487553" w:rsidRDefault="003E3F9A"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1.73%</w:t>
            </w:r>
          </w:p>
        </w:tc>
        <w:tc>
          <w:tcPr>
            <w:tcW w:w="1080" w:type="dxa"/>
            <w:vAlign w:val="center"/>
          </w:tcPr>
          <w:p w14:paraId="15B1A11B" w14:textId="77777777" w:rsidR="003E3F9A" w:rsidRPr="00487553" w:rsidRDefault="003E3F9A"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-0.93%</w:t>
            </w:r>
          </w:p>
        </w:tc>
        <w:tc>
          <w:tcPr>
            <w:tcW w:w="1080" w:type="dxa"/>
            <w:vAlign w:val="center"/>
          </w:tcPr>
          <w:p w14:paraId="5A7E5289" w14:textId="77777777" w:rsidR="003E3F9A" w:rsidRPr="00487553" w:rsidRDefault="003E3F9A" w:rsidP="00D94E68">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-0.09%</w:t>
            </w:r>
          </w:p>
        </w:tc>
      </w:tr>
      <w:tr w:rsidR="0008306D" w:rsidRPr="00487553" w14:paraId="014794DD" w14:textId="77777777" w:rsidTr="00E213A6">
        <w:trPr>
          <w:trHeight w:val="495"/>
          <w:jc w:val="center"/>
        </w:trPr>
        <w:tc>
          <w:tcPr>
            <w:tcW w:w="1568" w:type="dxa"/>
          </w:tcPr>
          <w:p w14:paraId="6C9BA0B7" w14:textId="77777777" w:rsidR="00AA1E00" w:rsidRPr="00487553" w:rsidRDefault="00AA1E00" w:rsidP="00680723">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2016年1月1日至2016年12月31日</w:t>
            </w:r>
          </w:p>
        </w:tc>
        <w:tc>
          <w:tcPr>
            <w:tcW w:w="1147" w:type="dxa"/>
            <w:vAlign w:val="center"/>
          </w:tcPr>
          <w:p w14:paraId="29717D40" w14:textId="77777777" w:rsidR="00AA1E00" w:rsidRPr="00487553" w:rsidRDefault="006D4F71" w:rsidP="00680723">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4.55%</w:t>
            </w:r>
          </w:p>
        </w:tc>
        <w:tc>
          <w:tcPr>
            <w:tcW w:w="1193" w:type="dxa"/>
            <w:vAlign w:val="center"/>
          </w:tcPr>
          <w:p w14:paraId="01DEC1F7" w14:textId="77777777" w:rsidR="00AA1E00" w:rsidRPr="00487553" w:rsidRDefault="006D4F71" w:rsidP="0068072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1.31%</w:t>
            </w:r>
          </w:p>
        </w:tc>
        <w:tc>
          <w:tcPr>
            <w:tcW w:w="1300" w:type="dxa"/>
            <w:vAlign w:val="center"/>
          </w:tcPr>
          <w:p w14:paraId="59C3DFAB" w14:textId="77777777" w:rsidR="00AA1E00" w:rsidRPr="00487553" w:rsidRDefault="006D4F71" w:rsidP="0068072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3.77%</w:t>
            </w:r>
          </w:p>
        </w:tc>
        <w:tc>
          <w:tcPr>
            <w:tcW w:w="1400" w:type="dxa"/>
            <w:vAlign w:val="center"/>
          </w:tcPr>
          <w:p w14:paraId="4A689324" w14:textId="77777777" w:rsidR="00AA1E00" w:rsidRPr="00487553" w:rsidRDefault="006D4F71" w:rsidP="0068072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1.36%</w:t>
            </w:r>
          </w:p>
        </w:tc>
        <w:tc>
          <w:tcPr>
            <w:tcW w:w="1080" w:type="dxa"/>
            <w:vAlign w:val="center"/>
          </w:tcPr>
          <w:p w14:paraId="28E1ABC3" w14:textId="77777777" w:rsidR="00AA1E00" w:rsidRPr="00487553" w:rsidRDefault="006D4F71" w:rsidP="0068072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0.78%</w:t>
            </w:r>
          </w:p>
        </w:tc>
        <w:tc>
          <w:tcPr>
            <w:tcW w:w="1080" w:type="dxa"/>
            <w:vAlign w:val="center"/>
          </w:tcPr>
          <w:p w14:paraId="74872FF4" w14:textId="77777777" w:rsidR="00AA1E00" w:rsidRPr="00487553" w:rsidRDefault="006D4F71" w:rsidP="0068072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-0.05%</w:t>
            </w:r>
          </w:p>
        </w:tc>
      </w:tr>
      <w:tr w:rsidR="0008306D" w:rsidRPr="00487553" w14:paraId="36990A89" w14:textId="77777777" w:rsidTr="00E213A6">
        <w:trPr>
          <w:trHeight w:val="495"/>
          <w:jc w:val="center"/>
        </w:trPr>
        <w:tc>
          <w:tcPr>
            <w:tcW w:w="1568" w:type="dxa"/>
          </w:tcPr>
          <w:p w14:paraId="32268115" w14:textId="77777777" w:rsidR="00C34F67" w:rsidRPr="00487553" w:rsidRDefault="00C34F67" w:rsidP="00C34F67">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2017年1月1日至2017年</w:t>
            </w:r>
            <w:r w:rsidRPr="00487553">
              <w:rPr>
                <w:rFonts w:asciiTheme="minorEastAsia" w:eastAsiaTheme="minorEastAsia" w:hAnsiTheme="minorEastAsia"/>
                <w:szCs w:val="21"/>
              </w:rPr>
              <w:t>12</w:t>
            </w:r>
            <w:r w:rsidRPr="00487553">
              <w:rPr>
                <w:rFonts w:asciiTheme="minorEastAsia" w:eastAsiaTheme="minorEastAsia" w:hAnsiTheme="minorEastAsia" w:hint="eastAsia"/>
                <w:szCs w:val="21"/>
              </w:rPr>
              <w:t>月3</w:t>
            </w: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日</w:t>
            </w:r>
          </w:p>
        </w:tc>
        <w:tc>
          <w:tcPr>
            <w:tcW w:w="1147" w:type="dxa"/>
            <w:vAlign w:val="center"/>
          </w:tcPr>
          <w:p w14:paraId="0A32CF36" w14:textId="77777777" w:rsidR="00C34F67" w:rsidRPr="00487553" w:rsidRDefault="00C34F67" w:rsidP="00C34F67">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16.90%</w:t>
            </w:r>
          </w:p>
        </w:tc>
        <w:tc>
          <w:tcPr>
            <w:tcW w:w="1193" w:type="dxa"/>
            <w:vAlign w:val="center"/>
          </w:tcPr>
          <w:p w14:paraId="5A43FBA8" w14:textId="77777777" w:rsidR="00C34F67" w:rsidRPr="00487553" w:rsidRDefault="00C34F67" w:rsidP="00C34F6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0.91%</w:t>
            </w:r>
          </w:p>
        </w:tc>
        <w:tc>
          <w:tcPr>
            <w:tcW w:w="1300" w:type="dxa"/>
            <w:vAlign w:val="center"/>
          </w:tcPr>
          <w:p w14:paraId="7D1A4497" w14:textId="77777777" w:rsidR="00C34F67" w:rsidRPr="00487553" w:rsidRDefault="00C34F67" w:rsidP="00C34F6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15.67%</w:t>
            </w:r>
          </w:p>
        </w:tc>
        <w:tc>
          <w:tcPr>
            <w:tcW w:w="1400" w:type="dxa"/>
            <w:vAlign w:val="center"/>
          </w:tcPr>
          <w:p w14:paraId="73C6543B" w14:textId="77777777" w:rsidR="00C34F67" w:rsidRPr="00487553" w:rsidRDefault="00C34F67" w:rsidP="00C34F6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0.93%</w:t>
            </w:r>
          </w:p>
        </w:tc>
        <w:tc>
          <w:tcPr>
            <w:tcW w:w="1080" w:type="dxa"/>
            <w:vAlign w:val="center"/>
          </w:tcPr>
          <w:p w14:paraId="1A9A538C" w14:textId="77777777" w:rsidR="00C34F67" w:rsidRPr="00487553" w:rsidRDefault="00C34F67" w:rsidP="00C34F6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1.23%</w:t>
            </w:r>
          </w:p>
        </w:tc>
        <w:tc>
          <w:tcPr>
            <w:tcW w:w="1080" w:type="dxa"/>
            <w:vAlign w:val="center"/>
          </w:tcPr>
          <w:p w14:paraId="2D83DBEE" w14:textId="77777777" w:rsidR="00C34F67" w:rsidRPr="00487553" w:rsidRDefault="00C34F67" w:rsidP="00C34F6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-0.02%</w:t>
            </w:r>
          </w:p>
        </w:tc>
      </w:tr>
      <w:tr w:rsidR="0008306D" w:rsidRPr="00487553" w14:paraId="721FE7C9" w14:textId="77777777" w:rsidTr="00E213A6">
        <w:trPr>
          <w:trHeight w:val="495"/>
          <w:jc w:val="center"/>
        </w:trPr>
        <w:tc>
          <w:tcPr>
            <w:tcW w:w="1568" w:type="dxa"/>
          </w:tcPr>
          <w:p w14:paraId="2835F1C7" w14:textId="314DBCE1" w:rsidR="00777F83" w:rsidRPr="00487553" w:rsidRDefault="00777F83" w:rsidP="00777F83">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2018年1月1日至2018年</w:t>
            </w:r>
            <w:r w:rsidRPr="00487553">
              <w:rPr>
                <w:rFonts w:asciiTheme="minorEastAsia" w:eastAsiaTheme="minorEastAsia" w:hAnsiTheme="minorEastAsia"/>
                <w:szCs w:val="21"/>
              </w:rPr>
              <w:t>12</w:t>
            </w:r>
            <w:r w:rsidRPr="00487553">
              <w:rPr>
                <w:rFonts w:asciiTheme="minorEastAsia" w:eastAsiaTheme="minorEastAsia" w:hAnsiTheme="minorEastAsia" w:hint="eastAsia"/>
                <w:szCs w:val="21"/>
              </w:rPr>
              <w:t>月3</w:t>
            </w: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日</w:t>
            </w:r>
          </w:p>
        </w:tc>
        <w:tc>
          <w:tcPr>
            <w:tcW w:w="1147" w:type="dxa"/>
            <w:vAlign w:val="center"/>
          </w:tcPr>
          <w:p w14:paraId="38892820" w14:textId="6852B8EF" w:rsidR="00777F83" w:rsidRPr="00487553" w:rsidRDefault="00777F83" w:rsidP="00777F83">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hint="eastAsia"/>
                <w:szCs w:val="21"/>
              </w:rPr>
              <w:t>-5.57%</w:t>
            </w:r>
          </w:p>
        </w:tc>
        <w:tc>
          <w:tcPr>
            <w:tcW w:w="1193" w:type="dxa"/>
            <w:vAlign w:val="center"/>
          </w:tcPr>
          <w:p w14:paraId="00D51C62" w14:textId="488D9818"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1.27%</w:t>
            </w:r>
          </w:p>
        </w:tc>
        <w:tc>
          <w:tcPr>
            <w:tcW w:w="1300" w:type="dxa"/>
            <w:vAlign w:val="center"/>
          </w:tcPr>
          <w:p w14:paraId="0AAE9D64" w14:textId="7B10A070"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-8.80%</w:t>
            </w:r>
          </w:p>
        </w:tc>
        <w:tc>
          <w:tcPr>
            <w:tcW w:w="1400" w:type="dxa"/>
            <w:vAlign w:val="center"/>
          </w:tcPr>
          <w:p w14:paraId="67D8CB3C" w14:textId="47E7F314"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1.32%</w:t>
            </w:r>
          </w:p>
        </w:tc>
        <w:tc>
          <w:tcPr>
            <w:tcW w:w="1080" w:type="dxa"/>
            <w:vAlign w:val="center"/>
          </w:tcPr>
          <w:p w14:paraId="02F9B433" w14:textId="286532FD"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3.23%</w:t>
            </w:r>
          </w:p>
        </w:tc>
        <w:tc>
          <w:tcPr>
            <w:tcW w:w="1080" w:type="dxa"/>
            <w:vAlign w:val="center"/>
          </w:tcPr>
          <w:p w14:paraId="4082B9D5" w14:textId="4D61DCE4"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hint="eastAsia"/>
                <w:szCs w:val="21"/>
              </w:rPr>
              <w:t>-0.05%</w:t>
            </w:r>
          </w:p>
        </w:tc>
      </w:tr>
      <w:tr w:rsidR="005D2057" w:rsidRPr="00487553" w14:paraId="0DA6FF35" w14:textId="77777777" w:rsidTr="00E213A6">
        <w:trPr>
          <w:trHeight w:val="495"/>
          <w:jc w:val="center"/>
        </w:trPr>
        <w:tc>
          <w:tcPr>
            <w:tcW w:w="1568" w:type="dxa"/>
          </w:tcPr>
          <w:p w14:paraId="4D0BFED5" w14:textId="112A5637" w:rsidR="005D2057" w:rsidRPr="00487553" w:rsidRDefault="005D2057" w:rsidP="005D2057">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szCs w:val="21"/>
              </w:rPr>
              <w:t>2019年1月1日至2019年6</w:t>
            </w:r>
            <w:r w:rsidRPr="00487553">
              <w:rPr>
                <w:rFonts w:asciiTheme="minorEastAsia" w:eastAsiaTheme="minorEastAsia" w:hAnsiTheme="minorEastAsia"/>
                <w:szCs w:val="21"/>
              </w:rPr>
              <w:lastRenderedPageBreak/>
              <w:t>月30日</w:t>
            </w:r>
          </w:p>
        </w:tc>
        <w:tc>
          <w:tcPr>
            <w:tcW w:w="1147" w:type="dxa"/>
            <w:vAlign w:val="center"/>
          </w:tcPr>
          <w:p w14:paraId="603C121C" w14:textId="203A3EBE" w:rsidR="005D2057" w:rsidRPr="00487553" w:rsidRDefault="005D2057" w:rsidP="005D2057">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lastRenderedPageBreak/>
              <w:t>8.36%</w:t>
            </w:r>
          </w:p>
        </w:tc>
        <w:tc>
          <w:tcPr>
            <w:tcW w:w="1193" w:type="dxa"/>
            <w:vAlign w:val="center"/>
          </w:tcPr>
          <w:p w14:paraId="7B8FA91D" w14:textId="7585D2CA"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1.00%</w:t>
            </w:r>
          </w:p>
        </w:tc>
        <w:tc>
          <w:tcPr>
            <w:tcW w:w="1300" w:type="dxa"/>
            <w:vAlign w:val="center"/>
          </w:tcPr>
          <w:p w14:paraId="5157C1C8" w14:textId="29F4926F"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7.54%</w:t>
            </w:r>
          </w:p>
        </w:tc>
        <w:tc>
          <w:tcPr>
            <w:tcW w:w="1400" w:type="dxa"/>
            <w:vAlign w:val="center"/>
          </w:tcPr>
          <w:p w14:paraId="2EB2066D" w14:textId="26A27A54"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1.03%</w:t>
            </w:r>
          </w:p>
        </w:tc>
        <w:tc>
          <w:tcPr>
            <w:tcW w:w="1080" w:type="dxa"/>
            <w:vAlign w:val="center"/>
          </w:tcPr>
          <w:p w14:paraId="7EAD453B" w14:textId="423B9F5D"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0.82%</w:t>
            </w:r>
          </w:p>
        </w:tc>
        <w:tc>
          <w:tcPr>
            <w:tcW w:w="1080" w:type="dxa"/>
            <w:vAlign w:val="center"/>
          </w:tcPr>
          <w:p w14:paraId="5845ED21" w14:textId="045D8B21"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-0.03%</w:t>
            </w:r>
          </w:p>
        </w:tc>
      </w:tr>
      <w:tr w:rsidR="005D2057" w:rsidRPr="00487553" w14:paraId="1EBE3FEE" w14:textId="77777777" w:rsidTr="00E213A6">
        <w:trPr>
          <w:trHeight w:val="495"/>
          <w:jc w:val="center"/>
        </w:trPr>
        <w:tc>
          <w:tcPr>
            <w:tcW w:w="1568" w:type="dxa"/>
          </w:tcPr>
          <w:p w14:paraId="4818E5F1" w14:textId="1E764E3E" w:rsidR="005D2057" w:rsidRPr="00487553" w:rsidRDefault="005D2057" w:rsidP="005D2057">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自基金合同生效日至</w:t>
            </w:r>
            <w:r w:rsidRPr="00487553">
              <w:rPr>
                <w:rFonts w:asciiTheme="minorEastAsia" w:eastAsiaTheme="minorEastAsia" w:hAnsiTheme="minorEastAsia"/>
                <w:szCs w:val="21"/>
              </w:rPr>
              <w:t>2019年6月30日</w:t>
            </w:r>
          </w:p>
        </w:tc>
        <w:tc>
          <w:tcPr>
            <w:tcW w:w="1147" w:type="dxa"/>
            <w:vAlign w:val="center"/>
          </w:tcPr>
          <w:p w14:paraId="7E3A1FEB" w14:textId="451BD2C3" w:rsidR="005D2057" w:rsidRPr="00487553" w:rsidRDefault="005D2057" w:rsidP="005D2057">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20.86%</w:t>
            </w:r>
          </w:p>
        </w:tc>
        <w:tc>
          <w:tcPr>
            <w:tcW w:w="1193" w:type="dxa"/>
            <w:vAlign w:val="center"/>
          </w:tcPr>
          <w:p w14:paraId="16E7849E" w14:textId="57716F43"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1.22%</w:t>
            </w:r>
          </w:p>
        </w:tc>
        <w:tc>
          <w:tcPr>
            <w:tcW w:w="1300" w:type="dxa"/>
            <w:vAlign w:val="center"/>
          </w:tcPr>
          <w:p w14:paraId="4AD759D2" w14:textId="35C647D0"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19.36%</w:t>
            </w:r>
          </w:p>
        </w:tc>
        <w:tc>
          <w:tcPr>
            <w:tcW w:w="1400" w:type="dxa"/>
            <w:vAlign w:val="center"/>
          </w:tcPr>
          <w:p w14:paraId="429D9E83" w14:textId="12BDD4AD"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1.30%</w:t>
            </w:r>
          </w:p>
        </w:tc>
        <w:tc>
          <w:tcPr>
            <w:tcW w:w="1080" w:type="dxa"/>
            <w:vAlign w:val="center"/>
          </w:tcPr>
          <w:p w14:paraId="33D6DD89" w14:textId="1794A9B9"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1.50%</w:t>
            </w:r>
          </w:p>
        </w:tc>
        <w:tc>
          <w:tcPr>
            <w:tcW w:w="1080" w:type="dxa"/>
            <w:vAlign w:val="center"/>
          </w:tcPr>
          <w:p w14:paraId="54FD915B" w14:textId="3D3FCC83"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-0.08%</w:t>
            </w:r>
          </w:p>
        </w:tc>
      </w:tr>
    </w:tbl>
    <w:p w14:paraId="5A993D2A" w14:textId="21CE8672" w:rsidR="00203F5D" w:rsidRPr="00487553" w:rsidRDefault="00203F5D" w:rsidP="00B0320A">
      <w:pPr>
        <w:autoSpaceDE w:val="0"/>
        <w:autoSpaceDN w:val="0"/>
        <w:adjustRightInd w:val="0"/>
        <w:snapToGrid w:val="0"/>
        <w:spacing w:line="360" w:lineRule="auto"/>
        <w:ind w:firstLine="420"/>
        <w:jc w:val="left"/>
        <w:rPr>
          <w:rFonts w:asciiTheme="minorEastAsia" w:eastAsiaTheme="minorEastAsia" w:hAnsiTheme="minorEastAsia"/>
          <w:szCs w:val="21"/>
        </w:rPr>
      </w:pPr>
      <w:r w:rsidRPr="00487553">
        <w:rPr>
          <w:rFonts w:asciiTheme="minorEastAsia" w:eastAsiaTheme="minorEastAsia" w:hAnsiTheme="minorEastAsia"/>
          <w:szCs w:val="21"/>
        </w:rPr>
        <w:t>2</w:t>
      </w:r>
      <w:r w:rsidRPr="00487553">
        <w:rPr>
          <w:rFonts w:asciiTheme="minorEastAsia" w:eastAsiaTheme="minorEastAsia" w:hAnsiTheme="minorEastAsia" w:hint="eastAsia"/>
          <w:szCs w:val="21"/>
        </w:rPr>
        <w:t>、易方达</w:t>
      </w:r>
      <w:r w:rsidRPr="00487553">
        <w:rPr>
          <w:rFonts w:asciiTheme="minorEastAsia" w:eastAsiaTheme="minorEastAsia" w:hAnsiTheme="minorEastAsia"/>
          <w:szCs w:val="21"/>
        </w:rPr>
        <w:t>恒生国企联接人民币C</w:t>
      </w:r>
      <w:r w:rsidRPr="00487553">
        <w:rPr>
          <w:rFonts w:asciiTheme="minorEastAsia" w:eastAsiaTheme="minorEastAsia" w:hAnsiTheme="minorEastAsia" w:hint="eastAsia"/>
          <w:szCs w:val="21"/>
        </w:rPr>
        <w:t>类基金份额净值增长率与同期业绩比较基准收益率比较</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1147"/>
        <w:gridCol w:w="1193"/>
        <w:gridCol w:w="1300"/>
        <w:gridCol w:w="1400"/>
        <w:gridCol w:w="1080"/>
        <w:gridCol w:w="1080"/>
      </w:tblGrid>
      <w:tr w:rsidR="0008306D" w:rsidRPr="00487553" w14:paraId="4C4C85C0" w14:textId="77777777" w:rsidTr="00005D91">
        <w:trPr>
          <w:trHeight w:val="315"/>
          <w:jc w:val="center"/>
        </w:trPr>
        <w:tc>
          <w:tcPr>
            <w:tcW w:w="1568" w:type="dxa"/>
          </w:tcPr>
          <w:p w14:paraId="43CC54D7" w14:textId="77777777" w:rsidR="00203F5D" w:rsidRPr="00487553" w:rsidRDefault="00203F5D" w:rsidP="00005D91">
            <w:pPr>
              <w:tabs>
                <w:tab w:val="left" w:pos="5400"/>
              </w:tabs>
              <w:snapToGrid w:val="0"/>
              <w:spacing w:line="360" w:lineRule="auto"/>
              <w:ind w:firstLine="420"/>
              <w:jc w:val="center"/>
              <w:rPr>
                <w:rFonts w:asciiTheme="minorEastAsia" w:eastAsiaTheme="minorEastAsia" w:hAnsiTheme="minorEastAsia"/>
                <w:szCs w:val="21"/>
              </w:rPr>
            </w:pPr>
          </w:p>
          <w:p w14:paraId="10DF9B1E" w14:textId="77777777" w:rsidR="00203F5D" w:rsidRPr="00487553" w:rsidRDefault="00203F5D" w:rsidP="00005D91">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阶段</w:t>
            </w:r>
          </w:p>
        </w:tc>
        <w:tc>
          <w:tcPr>
            <w:tcW w:w="1147" w:type="dxa"/>
          </w:tcPr>
          <w:p w14:paraId="6D4E8DA9" w14:textId="77777777" w:rsidR="00203F5D" w:rsidRPr="00487553" w:rsidRDefault="00203F5D" w:rsidP="00005D91">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净值增长率①</w:t>
            </w:r>
          </w:p>
        </w:tc>
        <w:tc>
          <w:tcPr>
            <w:tcW w:w="1193" w:type="dxa"/>
          </w:tcPr>
          <w:p w14:paraId="799D7C56" w14:textId="77777777" w:rsidR="00203F5D" w:rsidRPr="00487553" w:rsidRDefault="00203F5D" w:rsidP="00005D91">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净值增长率标准差②</w:t>
            </w:r>
          </w:p>
        </w:tc>
        <w:tc>
          <w:tcPr>
            <w:tcW w:w="1300" w:type="dxa"/>
          </w:tcPr>
          <w:p w14:paraId="29B7D778" w14:textId="77777777" w:rsidR="00203F5D" w:rsidRPr="00487553" w:rsidRDefault="00203F5D" w:rsidP="00005D91">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业绩比较基准收益率③</w:t>
            </w:r>
          </w:p>
        </w:tc>
        <w:tc>
          <w:tcPr>
            <w:tcW w:w="1400" w:type="dxa"/>
          </w:tcPr>
          <w:p w14:paraId="0CD1E38C" w14:textId="77777777" w:rsidR="00203F5D" w:rsidRPr="00487553" w:rsidRDefault="00203F5D" w:rsidP="00005D91">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业绩比较基准收益率标准差④</w:t>
            </w:r>
          </w:p>
        </w:tc>
        <w:tc>
          <w:tcPr>
            <w:tcW w:w="1080" w:type="dxa"/>
          </w:tcPr>
          <w:p w14:paraId="6B133A3D" w14:textId="77777777" w:rsidR="00203F5D" w:rsidRPr="00487553" w:rsidRDefault="00203F5D" w:rsidP="00005D91">
            <w:pPr>
              <w:tabs>
                <w:tab w:val="left" w:pos="5400"/>
              </w:tabs>
              <w:snapToGrid w:val="0"/>
              <w:spacing w:line="360" w:lineRule="auto"/>
              <w:ind w:firstLine="420"/>
              <w:jc w:val="center"/>
              <w:rPr>
                <w:rFonts w:asciiTheme="minorEastAsia" w:eastAsiaTheme="minorEastAsia" w:hAnsiTheme="minorEastAsia"/>
                <w:szCs w:val="21"/>
              </w:rPr>
            </w:pPr>
          </w:p>
          <w:p w14:paraId="5BAE21D5" w14:textId="77777777" w:rsidR="00203F5D" w:rsidRPr="00487553" w:rsidRDefault="00203F5D" w:rsidP="00005D91">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①-③</w:t>
            </w:r>
          </w:p>
        </w:tc>
        <w:tc>
          <w:tcPr>
            <w:tcW w:w="1080" w:type="dxa"/>
          </w:tcPr>
          <w:p w14:paraId="4254C2F8" w14:textId="77777777" w:rsidR="00203F5D" w:rsidRPr="00487553" w:rsidRDefault="00203F5D" w:rsidP="00005D91">
            <w:pPr>
              <w:tabs>
                <w:tab w:val="left" w:pos="5400"/>
              </w:tabs>
              <w:snapToGrid w:val="0"/>
              <w:spacing w:line="360" w:lineRule="auto"/>
              <w:ind w:firstLine="420"/>
              <w:jc w:val="center"/>
              <w:rPr>
                <w:rFonts w:asciiTheme="minorEastAsia" w:eastAsiaTheme="minorEastAsia" w:hAnsiTheme="minorEastAsia"/>
                <w:szCs w:val="21"/>
              </w:rPr>
            </w:pPr>
          </w:p>
          <w:p w14:paraId="48C86EB9" w14:textId="77777777" w:rsidR="00203F5D" w:rsidRPr="00487553" w:rsidRDefault="00203F5D" w:rsidP="00005D91">
            <w:pPr>
              <w:tabs>
                <w:tab w:val="left" w:pos="5400"/>
              </w:tabs>
              <w:snapToGrid w:val="0"/>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②-④</w:t>
            </w:r>
          </w:p>
        </w:tc>
      </w:tr>
      <w:tr w:rsidR="0008306D" w:rsidRPr="00487553" w14:paraId="670675BC" w14:textId="77777777" w:rsidTr="00005D91">
        <w:trPr>
          <w:trHeight w:val="495"/>
          <w:jc w:val="center"/>
        </w:trPr>
        <w:tc>
          <w:tcPr>
            <w:tcW w:w="1568" w:type="dxa"/>
          </w:tcPr>
          <w:p w14:paraId="2EB3E8B9" w14:textId="13AF2A63" w:rsidR="00777F83" w:rsidRPr="00487553" w:rsidRDefault="00777F83" w:rsidP="00777F83">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自</w:t>
            </w:r>
            <w:r w:rsidR="00982452" w:rsidRPr="00487553">
              <w:rPr>
                <w:rFonts w:asciiTheme="minorEastAsia" w:eastAsiaTheme="minorEastAsia" w:hAnsiTheme="minorEastAsia"/>
                <w:kern w:val="0"/>
                <w:szCs w:val="21"/>
              </w:rPr>
              <w:t>2018年2月12日</w:t>
            </w:r>
            <w:r w:rsidRPr="00487553">
              <w:rPr>
                <w:rFonts w:asciiTheme="minorEastAsia" w:eastAsiaTheme="minorEastAsia" w:hAnsiTheme="minorEastAsia" w:hint="eastAsia"/>
                <w:szCs w:val="21"/>
              </w:rPr>
              <w:t>至2018年</w:t>
            </w:r>
            <w:r w:rsidRPr="00487553">
              <w:rPr>
                <w:rFonts w:asciiTheme="minorEastAsia" w:eastAsiaTheme="minorEastAsia" w:hAnsiTheme="minorEastAsia"/>
                <w:szCs w:val="21"/>
              </w:rPr>
              <w:t>12</w:t>
            </w:r>
            <w:r w:rsidRPr="00487553">
              <w:rPr>
                <w:rFonts w:asciiTheme="minorEastAsia" w:eastAsiaTheme="minorEastAsia" w:hAnsiTheme="minorEastAsia" w:hint="eastAsia"/>
                <w:szCs w:val="21"/>
              </w:rPr>
              <w:t>月3</w:t>
            </w: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日</w:t>
            </w:r>
          </w:p>
        </w:tc>
        <w:tc>
          <w:tcPr>
            <w:tcW w:w="1147" w:type="dxa"/>
            <w:vAlign w:val="center"/>
          </w:tcPr>
          <w:p w14:paraId="46F3D01B" w14:textId="31979454" w:rsidR="00777F83" w:rsidRPr="00487553" w:rsidRDefault="00777F83" w:rsidP="00777F83">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-5.35%</w:t>
            </w:r>
          </w:p>
        </w:tc>
        <w:tc>
          <w:tcPr>
            <w:tcW w:w="1193" w:type="dxa"/>
            <w:vAlign w:val="center"/>
          </w:tcPr>
          <w:p w14:paraId="12837FEA" w14:textId="1F222C31"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1.21%</w:t>
            </w:r>
          </w:p>
        </w:tc>
        <w:tc>
          <w:tcPr>
            <w:tcW w:w="1300" w:type="dxa"/>
            <w:vAlign w:val="center"/>
          </w:tcPr>
          <w:p w14:paraId="59CF0142" w14:textId="7D0606D3"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-7.30%</w:t>
            </w:r>
          </w:p>
        </w:tc>
        <w:tc>
          <w:tcPr>
            <w:tcW w:w="1400" w:type="dxa"/>
            <w:vAlign w:val="center"/>
          </w:tcPr>
          <w:p w14:paraId="7570253A" w14:textId="6B40C13D"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1.26%</w:t>
            </w:r>
          </w:p>
        </w:tc>
        <w:tc>
          <w:tcPr>
            <w:tcW w:w="1080" w:type="dxa"/>
            <w:vAlign w:val="center"/>
          </w:tcPr>
          <w:p w14:paraId="6A51239E" w14:textId="2E423347"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1.95%</w:t>
            </w:r>
          </w:p>
        </w:tc>
        <w:tc>
          <w:tcPr>
            <w:tcW w:w="1080" w:type="dxa"/>
            <w:vAlign w:val="center"/>
          </w:tcPr>
          <w:p w14:paraId="45D066D9" w14:textId="3CB5F6D9" w:rsidR="00777F83" w:rsidRPr="00487553" w:rsidRDefault="00777F83" w:rsidP="00777F83">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-0.05%</w:t>
            </w:r>
          </w:p>
        </w:tc>
      </w:tr>
      <w:tr w:rsidR="005D2057" w:rsidRPr="00487553" w14:paraId="7482DF29" w14:textId="77777777" w:rsidTr="00005D91">
        <w:trPr>
          <w:trHeight w:val="495"/>
          <w:jc w:val="center"/>
        </w:trPr>
        <w:tc>
          <w:tcPr>
            <w:tcW w:w="1568" w:type="dxa"/>
          </w:tcPr>
          <w:p w14:paraId="375623BA" w14:textId="4FE2B54C" w:rsidR="005D2057" w:rsidRPr="00487553" w:rsidRDefault="005D2057" w:rsidP="005D2057">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szCs w:val="21"/>
              </w:rPr>
              <w:t>2019年1月1日至2019年6月30日</w:t>
            </w:r>
          </w:p>
        </w:tc>
        <w:tc>
          <w:tcPr>
            <w:tcW w:w="1147" w:type="dxa"/>
            <w:vAlign w:val="center"/>
          </w:tcPr>
          <w:p w14:paraId="7EA5768D" w14:textId="3E9E395E" w:rsidR="005D2057" w:rsidRPr="00487553" w:rsidRDefault="005D2057" w:rsidP="005D2057">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8.03%</w:t>
            </w:r>
          </w:p>
        </w:tc>
        <w:tc>
          <w:tcPr>
            <w:tcW w:w="1193" w:type="dxa"/>
            <w:vAlign w:val="center"/>
          </w:tcPr>
          <w:p w14:paraId="2CC1F337" w14:textId="570BB1B9"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1.00%</w:t>
            </w:r>
          </w:p>
        </w:tc>
        <w:tc>
          <w:tcPr>
            <w:tcW w:w="1300" w:type="dxa"/>
            <w:vAlign w:val="center"/>
          </w:tcPr>
          <w:p w14:paraId="279C3F5A" w14:textId="76ADF998"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7.54%</w:t>
            </w:r>
          </w:p>
        </w:tc>
        <w:tc>
          <w:tcPr>
            <w:tcW w:w="1400" w:type="dxa"/>
            <w:vAlign w:val="center"/>
          </w:tcPr>
          <w:p w14:paraId="30372647" w14:textId="0B4D31EF"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1.03%</w:t>
            </w:r>
          </w:p>
        </w:tc>
        <w:tc>
          <w:tcPr>
            <w:tcW w:w="1080" w:type="dxa"/>
            <w:vAlign w:val="center"/>
          </w:tcPr>
          <w:p w14:paraId="4EC44FAD" w14:textId="2B815F17"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0.49%</w:t>
            </w:r>
          </w:p>
        </w:tc>
        <w:tc>
          <w:tcPr>
            <w:tcW w:w="1080" w:type="dxa"/>
            <w:vAlign w:val="center"/>
          </w:tcPr>
          <w:p w14:paraId="5C31908A" w14:textId="1D29B0DA"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-0.03%</w:t>
            </w:r>
          </w:p>
        </w:tc>
      </w:tr>
      <w:tr w:rsidR="005D2057" w:rsidRPr="00487553" w14:paraId="61900687" w14:textId="77777777" w:rsidTr="00005D91">
        <w:trPr>
          <w:trHeight w:val="495"/>
          <w:jc w:val="center"/>
        </w:trPr>
        <w:tc>
          <w:tcPr>
            <w:tcW w:w="1568" w:type="dxa"/>
          </w:tcPr>
          <w:p w14:paraId="49BF7358" w14:textId="41F9D0B0" w:rsidR="005D2057" w:rsidRPr="00487553" w:rsidRDefault="005D2057" w:rsidP="005D2057">
            <w:pPr>
              <w:tabs>
                <w:tab w:val="left" w:pos="5400"/>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hint="eastAsia"/>
                <w:szCs w:val="21"/>
              </w:rPr>
              <w:t>自</w:t>
            </w:r>
            <w:r w:rsidR="00221434" w:rsidRPr="00487553">
              <w:rPr>
                <w:rFonts w:asciiTheme="minorEastAsia" w:eastAsiaTheme="minorEastAsia" w:hAnsiTheme="minorEastAsia"/>
                <w:kern w:val="0"/>
                <w:szCs w:val="21"/>
              </w:rPr>
              <w:t>2018年2月12日</w:t>
            </w:r>
            <w:r w:rsidRPr="00487553">
              <w:rPr>
                <w:rFonts w:asciiTheme="minorEastAsia" w:eastAsiaTheme="minorEastAsia" w:hAnsiTheme="minorEastAsia" w:hint="eastAsia"/>
                <w:szCs w:val="21"/>
              </w:rPr>
              <w:t>至</w:t>
            </w:r>
            <w:r w:rsidRPr="00487553">
              <w:rPr>
                <w:rFonts w:asciiTheme="minorEastAsia" w:eastAsiaTheme="minorEastAsia" w:hAnsiTheme="minorEastAsia"/>
                <w:szCs w:val="21"/>
              </w:rPr>
              <w:t>2019年6月30日</w:t>
            </w:r>
          </w:p>
        </w:tc>
        <w:tc>
          <w:tcPr>
            <w:tcW w:w="1147" w:type="dxa"/>
            <w:vAlign w:val="center"/>
          </w:tcPr>
          <w:p w14:paraId="50B8C62B" w14:textId="3E6B0D59" w:rsidR="005D2057" w:rsidRPr="00487553" w:rsidRDefault="005D2057" w:rsidP="005D2057">
            <w:pPr>
              <w:snapToGrid w:val="0"/>
              <w:spacing w:line="360" w:lineRule="auto"/>
              <w:ind w:leftChars="-65" w:left="-136"/>
              <w:jc w:val="right"/>
              <w:rPr>
                <w:rFonts w:asciiTheme="minorEastAsia" w:eastAsiaTheme="minorEastAsia" w:hAnsiTheme="minorEastAsia"/>
                <w:szCs w:val="21"/>
              </w:rPr>
            </w:pPr>
            <w:r w:rsidRPr="00487553">
              <w:rPr>
                <w:rFonts w:asciiTheme="minorEastAsia" w:eastAsiaTheme="minorEastAsia" w:hAnsiTheme="minorEastAsia"/>
                <w:szCs w:val="21"/>
              </w:rPr>
              <w:t>2.26%</w:t>
            </w:r>
          </w:p>
        </w:tc>
        <w:tc>
          <w:tcPr>
            <w:tcW w:w="1193" w:type="dxa"/>
            <w:vAlign w:val="center"/>
          </w:tcPr>
          <w:p w14:paraId="5B97393C" w14:textId="2BEBD385"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1.14%</w:t>
            </w:r>
          </w:p>
        </w:tc>
        <w:tc>
          <w:tcPr>
            <w:tcW w:w="1300" w:type="dxa"/>
            <w:vAlign w:val="center"/>
          </w:tcPr>
          <w:p w14:paraId="537B95ED" w14:textId="111E5409"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-0.31%</w:t>
            </w:r>
          </w:p>
        </w:tc>
        <w:tc>
          <w:tcPr>
            <w:tcW w:w="1400" w:type="dxa"/>
            <w:vAlign w:val="center"/>
          </w:tcPr>
          <w:p w14:paraId="47338ADA" w14:textId="538A9205"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1.18%</w:t>
            </w:r>
          </w:p>
        </w:tc>
        <w:tc>
          <w:tcPr>
            <w:tcW w:w="1080" w:type="dxa"/>
            <w:vAlign w:val="center"/>
          </w:tcPr>
          <w:p w14:paraId="1F629A4D" w14:textId="06109EDD"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2.57%</w:t>
            </w:r>
          </w:p>
        </w:tc>
        <w:tc>
          <w:tcPr>
            <w:tcW w:w="1080" w:type="dxa"/>
            <w:vAlign w:val="center"/>
          </w:tcPr>
          <w:p w14:paraId="24C62BEE" w14:textId="46AB3DFB" w:rsidR="005D2057" w:rsidRPr="00487553" w:rsidRDefault="005D2057" w:rsidP="005D2057">
            <w:pPr>
              <w:snapToGrid w:val="0"/>
              <w:spacing w:line="360" w:lineRule="auto"/>
              <w:jc w:val="right"/>
              <w:rPr>
                <w:rFonts w:asciiTheme="minorEastAsia" w:eastAsiaTheme="minorEastAsia" w:hAnsiTheme="minorEastAsia"/>
                <w:szCs w:val="21"/>
              </w:rPr>
            </w:pPr>
            <w:r w:rsidRPr="00487553">
              <w:rPr>
                <w:rFonts w:asciiTheme="minorEastAsia" w:eastAsiaTheme="minorEastAsia" w:hAnsiTheme="minorEastAsia"/>
                <w:szCs w:val="21"/>
              </w:rPr>
              <w:t>-0.04%</w:t>
            </w:r>
          </w:p>
        </w:tc>
      </w:tr>
    </w:tbl>
    <w:p w14:paraId="7DDFA481" w14:textId="53551DE3" w:rsidR="00203F5D" w:rsidRPr="00487553" w:rsidRDefault="00203F5D">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注：</w:t>
      </w:r>
      <w:r w:rsidR="00303634"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自2018年2月9日起，本基金增设C类份额类别，份额首次确认日为2018年2月12日，增设当期的相关数据和指标按实际存续期计算。</w:t>
      </w:r>
    </w:p>
    <w:p w14:paraId="07B6E8B2" w14:textId="44642507" w:rsidR="00B0324F" w:rsidRPr="00487553" w:rsidRDefault="00203F5D" w:rsidP="00D94E68">
      <w:pPr>
        <w:autoSpaceDE w:val="0"/>
        <w:autoSpaceDN w:val="0"/>
        <w:adjustRightInd w:val="0"/>
        <w:snapToGrid w:val="0"/>
        <w:spacing w:line="360" w:lineRule="auto"/>
        <w:ind w:firstLine="420"/>
        <w:jc w:val="left"/>
        <w:rPr>
          <w:rFonts w:asciiTheme="minorEastAsia" w:eastAsiaTheme="minorEastAsia" w:hAnsiTheme="minorEastAsia"/>
        </w:rPr>
      </w:pPr>
      <w:r w:rsidRPr="00487553">
        <w:rPr>
          <w:rFonts w:asciiTheme="minorEastAsia" w:eastAsiaTheme="minorEastAsia" w:hAnsiTheme="minorEastAsia"/>
        </w:rPr>
        <w:tab/>
      </w:r>
      <w:r w:rsidR="00303634" w:rsidRPr="00487553">
        <w:rPr>
          <w:rFonts w:asciiTheme="minorEastAsia" w:eastAsiaTheme="minorEastAsia" w:hAnsiTheme="minorEastAsia" w:hint="eastAsia"/>
        </w:rPr>
        <w:t>（2）</w:t>
      </w:r>
      <w:r w:rsidR="00B0324F" w:rsidRPr="00487553">
        <w:rPr>
          <w:rFonts w:asciiTheme="minorEastAsia" w:eastAsiaTheme="minorEastAsia" w:hAnsiTheme="minorEastAsia" w:hint="eastAsia"/>
        </w:rPr>
        <w:t>同期业绩比较基准已经转换为以人民币计价。</w:t>
      </w:r>
    </w:p>
    <w:p w14:paraId="0F09A3A6" w14:textId="42BB1830" w:rsidR="00B0324F" w:rsidRPr="00487553" w:rsidRDefault="00303634" w:rsidP="00127FB7">
      <w:pPr>
        <w:autoSpaceDE w:val="0"/>
        <w:autoSpaceDN w:val="0"/>
        <w:adjustRightInd w:val="0"/>
        <w:snapToGrid w:val="0"/>
        <w:spacing w:line="360" w:lineRule="auto"/>
        <w:ind w:firstLineChars="400" w:firstLine="840"/>
        <w:jc w:val="left"/>
        <w:rPr>
          <w:rFonts w:asciiTheme="minorEastAsia" w:eastAsiaTheme="minorEastAsia" w:hAnsiTheme="minorEastAsia"/>
        </w:rPr>
      </w:pPr>
      <w:r w:rsidRPr="00487553">
        <w:rPr>
          <w:rFonts w:asciiTheme="minorEastAsia" w:eastAsiaTheme="minorEastAsia" w:hAnsiTheme="minorEastAsia" w:hint="eastAsia"/>
        </w:rPr>
        <w:t>（3）</w:t>
      </w:r>
      <w:r w:rsidR="00B0324F" w:rsidRPr="00487553">
        <w:rPr>
          <w:rFonts w:asciiTheme="minorEastAsia" w:eastAsiaTheme="minorEastAsia" w:hAnsiTheme="minorEastAsia" w:hint="eastAsia"/>
        </w:rPr>
        <w:t>上述净值表现数据按照《证券投资基金信息披露编报规则第2号&lt;基金净值表现的编制及披露&gt;》的相关规定编制。</w:t>
      </w:r>
    </w:p>
    <w:p w14:paraId="7FD7C682" w14:textId="7777777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200" w:name="_Toc20148426"/>
      <w:r w:rsidRPr="00487553">
        <w:rPr>
          <w:rFonts w:asciiTheme="minorEastAsia" w:eastAsiaTheme="minorEastAsia" w:hAnsiTheme="minorEastAsia"/>
        </w:rPr>
        <w:lastRenderedPageBreak/>
        <w:t>基金管理人</w:t>
      </w:r>
      <w:bookmarkEnd w:id="200"/>
    </w:p>
    <w:p w14:paraId="13E753B4" w14:textId="77777777" w:rsidR="00D94E68" w:rsidRPr="00487553" w:rsidRDefault="0064594E" w:rsidP="00D94E68">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201" w:name="_Toc133292563"/>
      <w:bookmarkStart w:id="202" w:name="_Toc163189520"/>
      <w:bookmarkStart w:id="203" w:name="_Toc20148427"/>
      <w:r w:rsidRPr="00487553">
        <w:rPr>
          <w:rFonts w:asciiTheme="minorEastAsia" w:eastAsiaTheme="minorEastAsia" w:hAnsiTheme="minorEastAsia"/>
        </w:rPr>
        <w:t>基金管理人基本情况</w:t>
      </w:r>
      <w:bookmarkEnd w:id="201"/>
      <w:bookmarkEnd w:id="202"/>
      <w:bookmarkEnd w:id="203"/>
    </w:p>
    <w:p w14:paraId="2C82D837" w14:textId="77777777" w:rsidR="00855ED5" w:rsidRPr="00487553" w:rsidRDefault="00CF5EDA"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1</w:t>
      </w:r>
      <w:r w:rsidR="00263FBC" w:rsidRPr="00487553">
        <w:rPr>
          <w:rFonts w:asciiTheme="minorEastAsia" w:eastAsiaTheme="minorEastAsia" w:hAnsiTheme="minorEastAsia" w:hint="eastAsia"/>
          <w:kern w:val="0"/>
        </w:rPr>
        <w:t>、</w:t>
      </w:r>
      <w:r w:rsidR="00855ED5" w:rsidRPr="00487553">
        <w:rPr>
          <w:rFonts w:asciiTheme="minorEastAsia" w:eastAsiaTheme="minorEastAsia" w:hAnsiTheme="minorEastAsia" w:hint="eastAsia"/>
          <w:kern w:val="0"/>
        </w:rPr>
        <w:t>基金管理人：易方达基金管理有限公司</w:t>
      </w:r>
    </w:p>
    <w:p w14:paraId="32AD75D2" w14:textId="77777777" w:rsidR="00855ED5"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注册地址：</w:t>
      </w:r>
      <w:r w:rsidR="00666D72" w:rsidRPr="00487553">
        <w:rPr>
          <w:rFonts w:asciiTheme="minorEastAsia" w:eastAsiaTheme="minorEastAsia" w:hAnsiTheme="minorEastAsia" w:hint="eastAsia"/>
          <w:kern w:val="0"/>
        </w:rPr>
        <w:t>广东省珠海市横琴新区宝华路6号105室－42891（集中办公区）</w:t>
      </w:r>
    </w:p>
    <w:p w14:paraId="438DC9D6" w14:textId="77777777" w:rsidR="00855ED5"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办公地址：广州市天河区珠江新城珠江东路30号广州银行大厦40-43楼</w:t>
      </w:r>
    </w:p>
    <w:p w14:paraId="3184FAB3" w14:textId="77777777" w:rsidR="00855ED5"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设立日期：2001年4月17日</w:t>
      </w:r>
    </w:p>
    <w:p w14:paraId="55926457" w14:textId="5B48F443" w:rsidR="000B5513" w:rsidRPr="00487553" w:rsidRDefault="00855ED5" w:rsidP="00D94E68">
      <w:pPr>
        <w:snapToGrid w:val="0"/>
        <w:spacing w:line="360" w:lineRule="auto"/>
        <w:ind w:firstLine="420"/>
        <w:jc w:val="left"/>
        <w:rPr>
          <w:rFonts w:asciiTheme="minorEastAsia" w:eastAsiaTheme="minorEastAsia" w:hAnsiTheme="minorEastAsia"/>
          <w:kern w:val="0"/>
        </w:rPr>
      </w:pPr>
      <w:r w:rsidRPr="00487553">
        <w:rPr>
          <w:rFonts w:asciiTheme="minorEastAsia" w:eastAsiaTheme="minorEastAsia" w:hAnsiTheme="minorEastAsia" w:hint="eastAsia"/>
          <w:kern w:val="0"/>
        </w:rPr>
        <w:t>法定代表人：</w:t>
      </w:r>
      <w:r w:rsidR="00004B4D" w:rsidRPr="00487553">
        <w:rPr>
          <w:rFonts w:asciiTheme="minorEastAsia" w:eastAsiaTheme="minorEastAsia" w:hAnsiTheme="minorEastAsia" w:hint="eastAsia"/>
          <w:kern w:val="0"/>
        </w:rPr>
        <w:t>刘晓艳</w:t>
      </w:r>
    </w:p>
    <w:p w14:paraId="6C204A19" w14:textId="6CA81E61" w:rsidR="00855ED5"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联系电话：4008818088</w:t>
      </w:r>
    </w:p>
    <w:p w14:paraId="2DC7A1E3" w14:textId="7706CF01" w:rsidR="00855ED5"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联系人：</w:t>
      </w:r>
      <w:r w:rsidR="006A1215" w:rsidRPr="00487553">
        <w:rPr>
          <w:rFonts w:asciiTheme="minorEastAsia" w:eastAsiaTheme="minorEastAsia" w:hAnsiTheme="minorEastAsia" w:hint="eastAsia"/>
          <w:kern w:val="0"/>
        </w:rPr>
        <w:t>李红枫</w:t>
      </w:r>
    </w:p>
    <w:p w14:paraId="5E9A3E3B" w14:textId="77777777" w:rsidR="00CF5EDA" w:rsidRPr="00487553" w:rsidRDefault="00855ED5" w:rsidP="00D94E68">
      <w:pPr>
        <w:snapToGrid w:val="0"/>
        <w:spacing w:line="360" w:lineRule="auto"/>
        <w:ind w:firstLine="420"/>
        <w:rPr>
          <w:rFonts w:asciiTheme="minorEastAsia" w:eastAsiaTheme="minorEastAsia" w:hAnsiTheme="minorEastAsia"/>
          <w:kern w:val="0"/>
        </w:rPr>
      </w:pPr>
      <w:r w:rsidRPr="00487553">
        <w:rPr>
          <w:rFonts w:asciiTheme="minorEastAsia" w:eastAsiaTheme="minorEastAsia" w:hAnsiTheme="minorEastAsia" w:hint="eastAsia"/>
          <w:kern w:val="0"/>
        </w:rPr>
        <w:t>注册资本：</w:t>
      </w:r>
      <w:r w:rsidRPr="00487553">
        <w:rPr>
          <w:rFonts w:asciiTheme="minorEastAsia" w:eastAsiaTheme="minorEastAsia" w:hAnsiTheme="minorEastAsia"/>
          <w:kern w:val="0"/>
        </w:rPr>
        <w:t>12,000</w:t>
      </w:r>
      <w:r w:rsidRPr="00487553">
        <w:rPr>
          <w:rFonts w:asciiTheme="minorEastAsia" w:eastAsiaTheme="minorEastAsia" w:hAnsiTheme="minorEastAsia" w:hint="eastAsia"/>
          <w:kern w:val="0"/>
        </w:rPr>
        <w:t>万元人民币</w:t>
      </w:r>
    </w:p>
    <w:p w14:paraId="5E52432F" w14:textId="77777777" w:rsidR="00CF5EDA" w:rsidRPr="00487553" w:rsidRDefault="00CF5EDA" w:rsidP="00D94E68">
      <w:pPr>
        <w:pStyle w:val="af1"/>
        <w:adjustRightInd w:val="0"/>
        <w:snapToGrid w:val="0"/>
        <w:spacing w:line="360" w:lineRule="auto"/>
        <w:ind w:firstLine="422"/>
        <w:textAlignment w:val="baseline"/>
        <w:rPr>
          <w:rFonts w:asciiTheme="minorEastAsia" w:eastAsiaTheme="minorEastAsia" w:hAnsiTheme="minorEastAsia" w:cs="Times New Roman"/>
          <w:bCs/>
          <w:kern w:val="0"/>
          <w:szCs w:val="24"/>
        </w:rPr>
      </w:pPr>
      <w:r w:rsidRPr="00487553">
        <w:rPr>
          <w:rFonts w:asciiTheme="minorEastAsia" w:eastAsiaTheme="minorEastAsia" w:hAnsiTheme="minorEastAsia" w:hint="eastAsia"/>
          <w:kern w:val="0"/>
        </w:rPr>
        <w:t>2</w:t>
      </w:r>
      <w:r w:rsidR="00263FBC" w:rsidRPr="00487553">
        <w:rPr>
          <w:rFonts w:asciiTheme="minorEastAsia" w:eastAsiaTheme="minorEastAsia" w:hAnsiTheme="minorEastAsia" w:hint="eastAsia"/>
          <w:kern w:val="0"/>
        </w:rPr>
        <w:t>、</w:t>
      </w:r>
      <w:r w:rsidRPr="00487553">
        <w:rPr>
          <w:rFonts w:asciiTheme="minorEastAsia" w:eastAsiaTheme="minorEastAsia" w:hAnsiTheme="minorEastAsia" w:hint="eastAsia"/>
          <w:kern w:val="0"/>
        </w:rPr>
        <w:t>股权结构</w:t>
      </w:r>
    </w:p>
    <w:tbl>
      <w:tblPr>
        <w:tblW w:w="6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1837"/>
      </w:tblGrid>
      <w:tr w:rsidR="0008306D" w:rsidRPr="00487553" w14:paraId="4C0ED035" w14:textId="77777777">
        <w:trPr>
          <w:jc w:val="center"/>
        </w:trPr>
        <w:tc>
          <w:tcPr>
            <w:tcW w:w="4236" w:type="dxa"/>
            <w:vAlign w:val="center"/>
          </w:tcPr>
          <w:p w14:paraId="14E8558B"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股东名称</w:t>
            </w:r>
          </w:p>
        </w:tc>
        <w:tc>
          <w:tcPr>
            <w:tcW w:w="1837" w:type="dxa"/>
            <w:vAlign w:val="center"/>
          </w:tcPr>
          <w:p w14:paraId="30266574"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出资比例</w:t>
            </w:r>
          </w:p>
        </w:tc>
      </w:tr>
      <w:tr w:rsidR="0008306D" w:rsidRPr="00487553" w14:paraId="2004A6B8" w14:textId="77777777">
        <w:trPr>
          <w:jc w:val="center"/>
        </w:trPr>
        <w:tc>
          <w:tcPr>
            <w:tcW w:w="4236" w:type="dxa"/>
            <w:vAlign w:val="center"/>
          </w:tcPr>
          <w:p w14:paraId="6F565C84"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广东粤财信托有限公司</w:t>
            </w:r>
          </w:p>
        </w:tc>
        <w:tc>
          <w:tcPr>
            <w:tcW w:w="1837" w:type="dxa"/>
            <w:vAlign w:val="center"/>
          </w:tcPr>
          <w:p w14:paraId="5F2816EF"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1/4</w:t>
            </w:r>
          </w:p>
        </w:tc>
      </w:tr>
      <w:tr w:rsidR="0008306D" w:rsidRPr="00487553" w14:paraId="406731B9" w14:textId="77777777">
        <w:trPr>
          <w:jc w:val="center"/>
        </w:trPr>
        <w:tc>
          <w:tcPr>
            <w:tcW w:w="4236" w:type="dxa"/>
            <w:vAlign w:val="center"/>
          </w:tcPr>
          <w:p w14:paraId="6D7C96CA"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广发证券股份有限公司</w:t>
            </w:r>
          </w:p>
        </w:tc>
        <w:tc>
          <w:tcPr>
            <w:tcW w:w="1837" w:type="dxa"/>
            <w:vAlign w:val="center"/>
          </w:tcPr>
          <w:p w14:paraId="5FB1BB31"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1/4</w:t>
            </w:r>
          </w:p>
        </w:tc>
      </w:tr>
      <w:tr w:rsidR="0008306D" w:rsidRPr="00487553" w14:paraId="30D46D09" w14:textId="77777777">
        <w:trPr>
          <w:jc w:val="center"/>
        </w:trPr>
        <w:tc>
          <w:tcPr>
            <w:tcW w:w="4236" w:type="dxa"/>
            <w:vAlign w:val="center"/>
          </w:tcPr>
          <w:p w14:paraId="51EB67C3"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盈峰投资控股集团有限公司</w:t>
            </w:r>
          </w:p>
        </w:tc>
        <w:tc>
          <w:tcPr>
            <w:tcW w:w="1837" w:type="dxa"/>
            <w:vAlign w:val="center"/>
          </w:tcPr>
          <w:p w14:paraId="4EF890B6"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1/4</w:t>
            </w:r>
          </w:p>
        </w:tc>
      </w:tr>
      <w:tr w:rsidR="0008306D" w:rsidRPr="00487553" w14:paraId="04199B7B" w14:textId="77777777">
        <w:trPr>
          <w:jc w:val="center"/>
        </w:trPr>
        <w:tc>
          <w:tcPr>
            <w:tcW w:w="4236" w:type="dxa"/>
            <w:vAlign w:val="center"/>
          </w:tcPr>
          <w:p w14:paraId="6067C0B8"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广东省广晟资产经营有限公司</w:t>
            </w:r>
          </w:p>
        </w:tc>
        <w:tc>
          <w:tcPr>
            <w:tcW w:w="1837" w:type="dxa"/>
            <w:vAlign w:val="center"/>
          </w:tcPr>
          <w:p w14:paraId="07593381"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1/6</w:t>
            </w:r>
          </w:p>
        </w:tc>
      </w:tr>
      <w:tr w:rsidR="0008306D" w:rsidRPr="00487553" w14:paraId="31A8C126" w14:textId="77777777">
        <w:trPr>
          <w:jc w:val="center"/>
        </w:trPr>
        <w:tc>
          <w:tcPr>
            <w:tcW w:w="4236" w:type="dxa"/>
            <w:vAlign w:val="center"/>
          </w:tcPr>
          <w:p w14:paraId="656E7953"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广州市广永国有资产经营有限公司</w:t>
            </w:r>
          </w:p>
        </w:tc>
        <w:tc>
          <w:tcPr>
            <w:tcW w:w="1837" w:type="dxa"/>
            <w:vAlign w:val="center"/>
          </w:tcPr>
          <w:p w14:paraId="5A315578"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1/12</w:t>
            </w:r>
          </w:p>
        </w:tc>
      </w:tr>
      <w:tr w:rsidR="0008306D" w:rsidRPr="00487553" w14:paraId="061D50C4" w14:textId="77777777">
        <w:trPr>
          <w:jc w:val="center"/>
        </w:trPr>
        <w:tc>
          <w:tcPr>
            <w:tcW w:w="4236" w:type="dxa"/>
            <w:vAlign w:val="center"/>
          </w:tcPr>
          <w:p w14:paraId="32069F81" w14:textId="4E4FDE1F"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总计</w:t>
            </w:r>
          </w:p>
        </w:tc>
        <w:tc>
          <w:tcPr>
            <w:tcW w:w="1837" w:type="dxa"/>
            <w:vAlign w:val="center"/>
          </w:tcPr>
          <w:p w14:paraId="4321E364" w14:textId="77777777" w:rsidR="00CF5EDA" w:rsidRPr="00487553" w:rsidRDefault="00CF5ED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100%</w:t>
            </w:r>
          </w:p>
        </w:tc>
      </w:tr>
    </w:tbl>
    <w:p w14:paraId="2DB03616" w14:textId="77777777" w:rsidR="00D94E68" w:rsidRPr="00487553" w:rsidRDefault="005E2CA4" w:rsidP="00D94E68">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204" w:name="_Toc296526926"/>
      <w:bookmarkStart w:id="205" w:name="_Toc296526927"/>
      <w:bookmarkStart w:id="206" w:name="_Toc296526928"/>
      <w:bookmarkStart w:id="207" w:name="_Toc296526929"/>
      <w:bookmarkStart w:id="208" w:name="_Toc296526931"/>
      <w:bookmarkStart w:id="209" w:name="_Toc296526932"/>
      <w:bookmarkStart w:id="210" w:name="_Toc296526933"/>
      <w:bookmarkStart w:id="211" w:name="_Toc296526934"/>
      <w:bookmarkStart w:id="212" w:name="_Toc296526936"/>
      <w:bookmarkStart w:id="213" w:name="_Toc296526958"/>
      <w:bookmarkStart w:id="214" w:name="_Toc209424036"/>
      <w:bookmarkStart w:id="215" w:name="_Toc20148428"/>
      <w:bookmarkEnd w:id="204"/>
      <w:bookmarkEnd w:id="205"/>
      <w:bookmarkEnd w:id="206"/>
      <w:bookmarkEnd w:id="207"/>
      <w:bookmarkEnd w:id="208"/>
      <w:bookmarkEnd w:id="209"/>
      <w:bookmarkEnd w:id="210"/>
      <w:bookmarkEnd w:id="211"/>
      <w:bookmarkEnd w:id="212"/>
      <w:bookmarkEnd w:id="213"/>
      <w:r w:rsidRPr="00487553">
        <w:rPr>
          <w:rFonts w:asciiTheme="minorEastAsia" w:eastAsiaTheme="minorEastAsia" w:hAnsiTheme="minorEastAsia"/>
        </w:rPr>
        <w:t>主要人员情况</w:t>
      </w:r>
      <w:bookmarkEnd w:id="214"/>
      <w:bookmarkEnd w:id="215"/>
    </w:p>
    <w:p w14:paraId="15C95F2D" w14:textId="5B4058AA" w:rsidR="00033F68" w:rsidRPr="00487553" w:rsidRDefault="00A925D6" w:rsidP="00033F68">
      <w:pPr>
        <w:pStyle w:val="af1"/>
        <w:adjustRightInd w:val="0"/>
        <w:snapToGrid w:val="0"/>
        <w:spacing w:line="360" w:lineRule="auto"/>
        <w:ind w:firstLine="422"/>
        <w:textAlignment w:val="baseline"/>
        <w:rPr>
          <w:rFonts w:asciiTheme="minorEastAsia" w:eastAsiaTheme="minorEastAsia" w:hAnsiTheme="minorEastAsia"/>
          <w:kern w:val="0"/>
          <w:szCs w:val="20"/>
        </w:rPr>
      </w:pPr>
      <w:r w:rsidRPr="00487553">
        <w:rPr>
          <w:rFonts w:asciiTheme="minorEastAsia" w:eastAsiaTheme="minorEastAsia" w:hAnsiTheme="minorEastAsia" w:cs="Times New Roman"/>
          <w:bCs/>
          <w:kern w:val="0"/>
          <w:szCs w:val="24"/>
        </w:rPr>
        <w:t>1</w:t>
      </w:r>
      <w:r w:rsidRPr="00487553">
        <w:rPr>
          <w:rFonts w:asciiTheme="minorEastAsia" w:eastAsiaTheme="minorEastAsia" w:hAnsiTheme="minorEastAsia" w:cs="Times New Roman" w:hint="eastAsia"/>
          <w:bCs/>
          <w:kern w:val="0"/>
          <w:szCs w:val="24"/>
        </w:rPr>
        <w:t>、</w:t>
      </w:r>
      <w:r w:rsidRPr="00487553">
        <w:rPr>
          <w:rFonts w:asciiTheme="minorEastAsia" w:eastAsiaTheme="minorEastAsia" w:hAnsiTheme="minorEastAsia" w:cs="Times New Roman"/>
          <w:bCs/>
          <w:kern w:val="0"/>
          <w:szCs w:val="24"/>
        </w:rPr>
        <w:t>董事、监事及高级管理人员</w:t>
      </w:r>
    </w:p>
    <w:p w14:paraId="2AB8BBC9"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14:paraId="0C08DB80"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14:paraId="4AD969EF"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广东粤财投资控股有限公司董</w:t>
      </w:r>
      <w:r w:rsidRPr="00487553">
        <w:rPr>
          <w:rFonts w:asciiTheme="minorEastAsia" w:eastAsiaTheme="minorEastAsia" w:hAnsiTheme="minorEastAsia" w:hint="eastAsia"/>
          <w:kern w:val="0"/>
          <w:szCs w:val="20"/>
        </w:rPr>
        <w:lastRenderedPageBreak/>
        <w:t>事、总经理。</w:t>
      </w:r>
    </w:p>
    <w:p w14:paraId="11C1C4A7"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14:paraId="51A1F171"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14:paraId="4CB84D6C"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14:paraId="557F0C1D"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复星旅游文化集团（开曼）有限公司独立董事。</w:t>
      </w:r>
    </w:p>
    <w:p w14:paraId="06009340"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谭劲松先生，管理学博士（会计学），独立董事。曾任邵阳市财会学校教师；中山大学管理学院助教、讲师、副教授。现任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w:t>
      </w:r>
    </w:p>
    <w:p w14:paraId="5F1DA224"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庄伟燕女士，法学博士，独立董事。曾任广东省妇女联合会干部；广东鸿鼎律师事务所主任；广东广悦鸿鼎律师事务所管委会主任。现任广东广信君达律师事务所高级合伙人。</w:t>
      </w:r>
    </w:p>
    <w:p w14:paraId="0EE21925"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14:paraId="12EB60A8"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赵必伟先生，经济学专业研究生，监事。曾任广州市财政局第四分局工作专管员；广州市税务局对外分局工作科长、副局长；广州市广永国有资产经营有限公司董事副总裁、总裁；</w:t>
      </w:r>
      <w:r w:rsidRPr="00487553">
        <w:rPr>
          <w:rFonts w:asciiTheme="minorEastAsia" w:eastAsiaTheme="minorEastAsia" w:hAnsiTheme="minorEastAsia" w:hint="eastAsia"/>
          <w:kern w:val="0"/>
          <w:szCs w:val="20"/>
        </w:rPr>
        <w:lastRenderedPageBreak/>
        <w:t>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14:paraId="6AE7DA0E"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14:paraId="5BA540CC"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14:paraId="6DB3B9BC"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14:paraId="22E94328"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14:paraId="69C211B2"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14:paraId="552DD465"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张南女士，经济学博士，督察长。曾任广东省经济贸易委员会主任科员、副处长；易方达基金管理有限公司市场拓展部副总经理、监察部总经理。现任易方达基金管理有限公司督察长。</w:t>
      </w:r>
    </w:p>
    <w:p w14:paraId="5A3A14C3"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范岳先生，工商管理硕士(MBA)，首席产品官。曾任中国工商银行深圳分行国际业务部科员；深圳证券登记结算公司办公室经理、国际部经理；深圳证券交易所北京中心助理主任、</w:t>
      </w:r>
      <w:r w:rsidRPr="00487553">
        <w:rPr>
          <w:rFonts w:asciiTheme="minorEastAsia" w:eastAsiaTheme="minorEastAsia" w:hAnsiTheme="minorEastAsia" w:hint="eastAsia"/>
          <w:kern w:val="0"/>
          <w:szCs w:val="20"/>
        </w:rPr>
        <w:lastRenderedPageBreak/>
        <w:t>上市部副总监、基金债券部副总监、基金管理部总监。现任易方达基金管理有限公司首席产品官。</w:t>
      </w:r>
    </w:p>
    <w:p w14:paraId="013B502A"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14:paraId="5B7F0E22"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14:paraId="344E1501" w14:textId="77777777" w:rsidR="0035497F" w:rsidRPr="00487553" w:rsidRDefault="0035497F" w:rsidP="0035497F">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现任易方达基金管理有限公司首席运营官，兼任公司财务中心主任；易方达资产管理（香港）有限公司董事；易方达资产管理有限公司监事；易方达海外投资（深圳）有限公司监事。</w:t>
      </w:r>
    </w:p>
    <w:p w14:paraId="765F12EF" w14:textId="6CB60F74" w:rsidR="00BF53B1" w:rsidRPr="00487553" w:rsidRDefault="0035497F" w:rsidP="00162D98">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14:paraId="17BCCF90" w14:textId="77777777" w:rsidR="00A925D6" w:rsidRPr="00487553" w:rsidRDefault="00A925D6" w:rsidP="00162D98">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kern w:val="0"/>
          <w:szCs w:val="20"/>
        </w:rPr>
        <w:t>2</w:t>
      </w:r>
      <w:r w:rsidRPr="00487553">
        <w:rPr>
          <w:rFonts w:asciiTheme="minorEastAsia" w:eastAsiaTheme="minorEastAsia" w:hAnsiTheme="minorEastAsia" w:hint="eastAsia"/>
          <w:kern w:val="0"/>
          <w:szCs w:val="20"/>
        </w:rPr>
        <w:t>、基金经理</w:t>
      </w:r>
    </w:p>
    <w:p w14:paraId="169312F5" w14:textId="1E3EA915" w:rsidR="008B1879"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张胜记先生，管理学硕士。曾任易方达基金管理有限公司投资经理助理、基金经理助理、行业研究员、指数与量化投资部总经理助理、指数与量化投资部副总经理、指数及增强投资部副总经理、易方达沪深</w:t>
      </w:r>
      <w:r w:rsidRPr="00487553">
        <w:rPr>
          <w:rFonts w:asciiTheme="minorEastAsia" w:eastAsiaTheme="minorEastAsia" w:hAnsiTheme="minorEastAsia"/>
          <w:kern w:val="0"/>
          <w:szCs w:val="20"/>
        </w:rPr>
        <w:t>300交易型开放式指数发起式证券投资基金联接基金（原易方达沪深300指数证券投资基金）基金经理（自2011年1月1日至2013年11月13日）、易方达上证中盘交易型开放式指数证券投资基金基金经理（自2010年3月29日至2018年8月10日）、易方达上证中盘交易型开放式指数证券投资基金联接基金基金经理（自2010年3月31日至2018年8月10日）、易方达标普医疗保健指数证券投资基金（LOF）基金经理（自2016年12月3日至2018年8月10日）、易方达标普500指数证券投资基金（LOF）基金经理（自2016年12月6日至2018年8月10日）、</w:t>
      </w:r>
      <w:r w:rsidRPr="00487553">
        <w:rPr>
          <w:rFonts w:asciiTheme="minorEastAsia" w:eastAsiaTheme="minorEastAsia" w:hAnsiTheme="minorEastAsia" w:hint="eastAsia"/>
          <w:kern w:val="0"/>
          <w:szCs w:val="20"/>
        </w:rPr>
        <w:t>易方达标普生物科技指数证券投资基金</w:t>
      </w:r>
      <w:r w:rsidRPr="00487553">
        <w:rPr>
          <w:rFonts w:asciiTheme="minorEastAsia" w:eastAsiaTheme="minorEastAsia" w:hAnsiTheme="minorEastAsia"/>
          <w:kern w:val="0"/>
          <w:szCs w:val="20"/>
        </w:rPr>
        <w:t>(LOF)基金经理</w:t>
      </w:r>
      <w:r w:rsidRPr="00487553">
        <w:rPr>
          <w:rFonts w:asciiTheme="minorEastAsia" w:eastAsiaTheme="minorEastAsia" w:hAnsiTheme="minorEastAsia" w:hint="eastAsia"/>
          <w:kern w:val="0"/>
          <w:szCs w:val="20"/>
        </w:rPr>
        <w:t>（自</w:t>
      </w:r>
      <w:r w:rsidRPr="00487553">
        <w:rPr>
          <w:rFonts w:asciiTheme="minorEastAsia" w:eastAsiaTheme="minorEastAsia" w:hAnsiTheme="minorEastAsia"/>
          <w:kern w:val="0"/>
          <w:szCs w:val="20"/>
        </w:rPr>
        <w:t>2016年12月15日至2018年8月10日）、易方达标普信息科技指数证券投资基金（LOF）</w:t>
      </w:r>
      <w:r w:rsidRPr="00487553">
        <w:rPr>
          <w:rFonts w:asciiTheme="minorEastAsia" w:eastAsiaTheme="minorEastAsia" w:hAnsiTheme="minorEastAsia" w:hint="eastAsia"/>
          <w:kern w:val="0"/>
          <w:szCs w:val="20"/>
        </w:rPr>
        <w:t>基金经理（自</w:t>
      </w:r>
      <w:r w:rsidRPr="00487553">
        <w:rPr>
          <w:rFonts w:asciiTheme="minorEastAsia" w:eastAsiaTheme="minorEastAsia" w:hAnsiTheme="minorEastAsia"/>
          <w:kern w:val="0"/>
          <w:szCs w:val="20"/>
        </w:rPr>
        <w:t>2016年12月15日至2018年8月10日）。现任易方达基金管理有限公司指数投资部总经理、易方达恒生中国企业交易型开放式指数证券投资基金基金经理（自2012年8月9日起任职）、易方达恒生中国企业交易型开放式指数证券投资基</w:t>
      </w:r>
      <w:r w:rsidRPr="00487553">
        <w:rPr>
          <w:rFonts w:asciiTheme="minorEastAsia" w:eastAsiaTheme="minorEastAsia" w:hAnsiTheme="minorEastAsia"/>
          <w:kern w:val="0"/>
          <w:szCs w:val="20"/>
        </w:rPr>
        <w:lastRenderedPageBreak/>
        <w:t>金联接基金基金经理（自2012年8月21日起任职）、易方达50指数证券投资基金基金经理（自2012年9月28日起任职）、易方达标普全球高端消费品指数增强型证券投资基金基金经理（自2014年9月13日起任职）、易方达香港恒生综合小型股指数证券投资基金（LOF）基金经理（自2016年11月2日起任职）、易方达原油证券投资基金(QDII)基金经理（自2016年12月19日起任职）</w:t>
      </w:r>
      <w:r w:rsidR="008B1879" w:rsidRPr="00487553">
        <w:rPr>
          <w:rFonts w:asciiTheme="minorEastAsia" w:eastAsiaTheme="minorEastAsia" w:hAnsiTheme="minorEastAsia" w:hint="eastAsia"/>
          <w:kern w:val="0"/>
          <w:szCs w:val="20"/>
        </w:rPr>
        <w:t>。</w:t>
      </w:r>
    </w:p>
    <w:p w14:paraId="234B0DCF" w14:textId="3532E20F" w:rsidR="008B1879"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余海燕女士，经济学硕士。曾任汇丰银行</w:t>
      </w:r>
      <w:r w:rsidRPr="00487553">
        <w:rPr>
          <w:rFonts w:asciiTheme="minorEastAsia" w:eastAsiaTheme="minorEastAsia" w:hAnsiTheme="minorEastAsia"/>
          <w:kern w:val="0"/>
          <w:szCs w:val="20"/>
        </w:rPr>
        <w:t>Consumer Credit Risk信用风险分析师，华宝兴业基金管理有限公司分析师、基金经理助理、基金经理，易方达基金管理有限公司投资发展部产品经理。现任易方达基金管理有限公司易方达沪深300医药卫生交易型开放式指数证券投资基金基金经理（</w:t>
      </w:r>
      <w:r w:rsidRPr="00487553">
        <w:rPr>
          <w:rFonts w:asciiTheme="minorEastAsia" w:eastAsiaTheme="minorEastAsia" w:hAnsiTheme="minorEastAsia" w:hint="eastAsia"/>
          <w:kern w:val="0"/>
          <w:szCs w:val="20"/>
        </w:rPr>
        <w:t>自</w:t>
      </w:r>
      <w:r w:rsidRPr="00487553">
        <w:rPr>
          <w:rFonts w:asciiTheme="minorEastAsia" w:eastAsiaTheme="minorEastAsia" w:hAnsiTheme="minorEastAsia"/>
          <w:kern w:val="0"/>
          <w:szCs w:val="20"/>
        </w:rPr>
        <w:t>2013年9月23日起任职</w:t>
      </w:r>
      <w:r w:rsidRPr="00487553">
        <w:rPr>
          <w:rFonts w:asciiTheme="minorEastAsia" w:eastAsiaTheme="minorEastAsia" w:hAnsiTheme="minorEastAsia" w:hint="eastAsia"/>
          <w:kern w:val="0"/>
          <w:szCs w:val="20"/>
        </w:rPr>
        <w:t>）、易方达沪深</w:t>
      </w:r>
      <w:r w:rsidRPr="00487553">
        <w:rPr>
          <w:rFonts w:asciiTheme="minorEastAsia" w:eastAsiaTheme="minorEastAsia" w:hAnsiTheme="minorEastAsia"/>
          <w:kern w:val="0"/>
          <w:szCs w:val="20"/>
        </w:rPr>
        <w:t>300非银行金融交易型开放式指数证券投资基金基金经理（自2014年6月26日起任职）、易方达沪深300非银行金融交易型开放式指数证券投资基金联接基金基金经理（自2015年1月22日起任职）、易方达上证50指数分级证券投资基金基金经理（自2015年4月15日起任职）、易方达国企改革指数分级证券投资基金基金经理（自2015年6月15日起任职）、易方达军工指数分级证券投资基金基金经理（自2015年7月8日起任职）、易方达证券公司指数分级证券投资基金基金经理（自2015年7月8日起任职）、易方达沪深300交易型开放式指数发起式证券投资基金基金经理（自2016年4月16日起任职）、易方达中证500交易型开放式指数证券投资基金基金经理（自2016年4月16日起任职）、易方达沪深300交易型开放式指数发起式证券投资基金联接基金基金经理（自2016年4月16日起任职）、易方达中证海外中国互联网50交易型开放式指数证券投资基金基金经理（自2017年1月4日起任职）、易方达中证军工交易型开放式指数证券投资基金基金经理（自2017年7月14日起任职）、易方达中证全指证券公司交易型开放式指数证券投资基金基金经理（自2017年7月27日起任职）、易方达沪深300医药卫生交易型开放式指数证券投资基金联接基金基金经理（自2017年11月22日起任职）、易方达黄金交易型开放式证券投资基金联接基金基金经理（自2018年8月11日起任职）、易方达恒生中国企业交易型开放式指数证券投资基金联接基金基金经理（自2018年8月11日起任职）、易方达黄金交易型开放式证券投资基金基金经理（自2018年8月11日起任职）、易方达恒生中国企业交易型开放式指数证券投资基金基金经理（自2018年8月11日起任职）、易方达中证海外中国互联网50交易型开放式指数证券投资基金联接基金基金经理（自2019年1月18日起任职）、易方达中证500交易型开放式指数证券投资基金发起式联接基金基金经理（自2019年3月20日起任职）、易方达日兴资管日经225交易型开放式指数证券投资基金(QDII)基金经理（自2019年6月12日起任职）、易方达上证50交易型开放式指数证券投资基金基金经理（自2019年9月6日起任职）</w:t>
      </w:r>
      <w:r w:rsidRPr="00487553">
        <w:rPr>
          <w:rFonts w:asciiTheme="minorEastAsia" w:eastAsiaTheme="minorEastAsia" w:hAnsiTheme="minorEastAsia" w:hint="eastAsia"/>
          <w:kern w:val="0"/>
          <w:szCs w:val="20"/>
        </w:rPr>
        <w:t>、易方达上证</w:t>
      </w:r>
      <w:r w:rsidRPr="00487553">
        <w:rPr>
          <w:rFonts w:asciiTheme="minorEastAsia" w:eastAsiaTheme="minorEastAsia" w:hAnsiTheme="minorEastAsia"/>
          <w:kern w:val="0"/>
          <w:szCs w:val="20"/>
        </w:rPr>
        <w:t>50交易型开放式指数证券投资基金发起式联接基金基金经理（自2019年9月9日起任职）</w:t>
      </w:r>
      <w:r w:rsidR="008B1879" w:rsidRPr="00487553">
        <w:rPr>
          <w:rFonts w:asciiTheme="minorEastAsia" w:eastAsiaTheme="minorEastAsia" w:hAnsiTheme="minorEastAsia" w:hint="eastAsia"/>
          <w:kern w:val="0"/>
          <w:szCs w:val="20"/>
        </w:rPr>
        <w:t>。</w:t>
      </w:r>
    </w:p>
    <w:p w14:paraId="115D78A5" w14:textId="4C9267C3" w:rsidR="008B1879"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成曦先生，经济学硕士。曾任华泰联合证券资产管理部研究员，易方达基金管理有限公</w:t>
      </w:r>
      <w:r w:rsidRPr="00487553">
        <w:rPr>
          <w:rFonts w:asciiTheme="minorEastAsia" w:eastAsiaTheme="minorEastAsia" w:hAnsiTheme="minorEastAsia" w:hint="eastAsia"/>
          <w:kern w:val="0"/>
          <w:szCs w:val="20"/>
        </w:rPr>
        <w:lastRenderedPageBreak/>
        <w:t>司集中交易室交易员、指数与量化投资部指数基金运作专员、基金经理助理、易方达深证成指交易型开放式指数证券投资基金基金经理（自</w:t>
      </w:r>
      <w:r w:rsidRPr="00487553">
        <w:rPr>
          <w:rFonts w:asciiTheme="minorEastAsia" w:eastAsiaTheme="minorEastAsia" w:hAnsiTheme="minorEastAsia"/>
          <w:kern w:val="0"/>
          <w:szCs w:val="20"/>
        </w:rPr>
        <w:t xml:space="preserve">2017年4月27日至2019年8月15日）、易方达深证成指交易型开放式指数证券投资基金联接基金基金经理（自2017年5月4日至2019年8月15日）。现任易方达基金管理有限公司易方达深证100交易型开放式指数基金基金经理（自2016年5月7日起任职）、易方达深证100交易型开放式指数证券投资基金联接基金基金经理（自2016年5月7日起任职）、易方达创业板交易型开放式指数证券投资基金基金经理（自2016年5月7日起任职）、易方达创业板交易型开放式指数证券投资基金联接基金基金经理（自2016年5月7日起任职）、易方达中小板指数证券投资基金（LOF）（原易方达中小板指数分级证券投资基金）基金经理（自2016年5月7日起任职）、易方达并购重组指数分级证券投资基金基金经理（自2016年5月7日起任职）、易方达生物科技指数分级证券投资基金基金经理（自2016年5月7日起任职）、易方达银行指数分级证券投资基金基金经理（自2016年5月7日起任职）、易方达MSCI中国A股国际通交易型开放式指数证券投资基金基金经理（自2018年5月17日起任职）、易方达恒生中国企业交易型开放式指数证券投资基金联接基金基金经理（自2018年8月11日起任职）、易方达原油证券投资基金(QDII) </w:t>
      </w:r>
      <w:r w:rsidRPr="00487553">
        <w:rPr>
          <w:rFonts w:asciiTheme="minorEastAsia" w:eastAsiaTheme="minorEastAsia" w:hAnsiTheme="minorEastAsia" w:hint="eastAsia"/>
          <w:kern w:val="0"/>
          <w:szCs w:val="20"/>
        </w:rPr>
        <w:t>基金经理（自</w:t>
      </w:r>
      <w:r w:rsidRPr="00487553">
        <w:rPr>
          <w:rFonts w:asciiTheme="minorEastAsia" w:eastAsiaTheme="minorEastAsia" w:hAnsiTheme="minorEastAsia"/>
          <w:kern w:val="0"/>
          <w:szCs w:val="20"/>
        </w:rPr>
        <w:t xml:space="preserve">2018年8月11日起任职）、易方达纳斯达克100指数证券投资基金(LOF) </w:t>
      </w:r>
      <w:r w:rsidRPr="00487553">
        <w:rPr>
          <w:rFonts w:asciiTheme="minorEastAsia" w:eastAsiaTheme="minorEastAsia" w:hAnsiTheme="minorEastAsia" w:hint="eastAsia"/>
          <w:kern w:val="0"/>
          <w:szCs w:val="20"/>
        </w:rPr>
        <w:t>基金经理（自</w:t>
      </w:r>
      <w:r w:rsidRPr="00487553">
        <w:rPr>
          <w:rFonts w:asciiTheme="minorEastAsia" w:eastAsiaTheme="minorEastAsia" w:hAnsiTheme="minorEastAsia"/>
          <w:kern w:val="0"/>
          <w:szCs w:val="20"/>
        </w:rPr>
        <w:t>2018年8月11日起任职）、易方达恒生中国企业交易型开放式指数证券投资基金基金经理（自2018年8月11日起任职）</w:t>
      </w:r>
      <w:r w:rsidRPr="00487553">
        <w:rPr>
          <w:rFonts w:asciiTheme="minorEastAsia" w:eastAsiaTheme="minorEastAsia" w:hAnsiTheme="minorEastAsia" w:hint="eastAsia"/>
          <w:kern w:val="0"/>
          <w:szCs w:val="20"/>
        </w:rPr>
        <w:t>、易方达</w:t>
      </w:r>
      <w:r w:rsidRPr="00487553">
        <w:rPr>
          <w:rFonts w:asciiTheme="minorEastAsia" w:eastAsiaTheme="minorEastAsia" w:hAnsiTheme="minorEastAsia"/>
          <w:kern w:val="0"/>
          <w:szCs w:val="20"/>
        </w:rPr>
        <w:t>MSCI中国A股国际通交易型开放式指数证券投资基金发起式联接基金基金经理（自2019年3月13日起任职）、易方达上证50交易型开放式指数证券投资基金基金经理（自2019年9月6日起任职）、易方达上证50交易型开放式指数证券投资基金发起式联接基金基金经理（自2019年9月9日起任职）</w:t>
      </w:r>
      <w:r w:rsidR="008B1879" w:rsidRPr="00487553">
        <w:rPr>
          <w:rFonts w:asciiTheme="minorEastAsia" w:eastAsiaTheme="minorEastAsia" w:hAnsiTheme="minorEastAsia" w:hint="eastAsia"/>
          <w:kern w:val="0"/>
          <w:szCs w:val="20"/>
        </w:rPr>
        <w:t>。</w:t>
      </w:r>
    </w:p>
    <w:p w14:paraId="49EA1F7E" w14:textId="27A39189" w:rsidR="008B1879" w:rsidRPr="00487553" w:rsidRDefault="008B1879"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3、投资决策委员会成员</w:t>
      </w:r>
    </w:p>
    <w:p w14:paraId="35C6FE8A" w14:textId="7AB14D83" w:rsidR="008B1879" w:rsidRPr="00487553" w:rsidRDefault="008B1879"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本公司指数投资决策委员会成员包括：</w:t>
      </w:r>
      <w:r w:rsidR="00B649BA" w:rsidRPr="00487553">
        <w:rPr>
          <w:rFonts w:asciiTheme="minorEastAsia" w:eastAsiaTheme="minorEastAsia" w:hAnsiTheme="minorEastAsia" w:hint="eastAsia"/>
          <w:kern w:val="0"/>
          <w:szCs w:val="20"/>
        </w:rPr>
        <w:t>林飞先生、张胜记先生、林伟斌先生</w:t>
      </w:r>
      <w:r w:rsidRPr="00487553">
        <w:rPr>
          <w:rFonts w:asciiTheme="minorEastAsia" w:eastAsiaTheme="minorEastAsia" w:hAnsiTheme="minorEastAsia" w:hint="eastAsia"/>
          <w:kern w:val="0"/>
          <w:szCs w:val="20"/>
        </w:rPr>
        <w:t>。</w:t>
      </w:r>
    </w:p>
    <w:p w14:paraId="4D95F1D1" w14:textId="77777777" w:rsidR="00B649BA"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林飞先生，经济学博士。曾任融通基金管理有限公司研究员、基金经理助理，易方达基金管理有限公司基金经理助理、指数与量化投资部总经理助理、指数与量化投资部副总经理、指数与量化投资部总经理、量化基金组合部总经理、指数与量化投资管理总部总经理、指数及增强投资部总经理、量化策略部总经理、量化投资部代总经理、易方达沪深300指数证券投资基金基金经理、易方达深证100交易型开放式指数基金基金经理、易方达50指数证券投资基金基金经理、易方达深证100交易型开放式指数证券投资基金联接基金基金经理、易方达沪深300交易型开放式指数发起式证券投资基金基金经理、易方达沪深300医药卫生交易型开放式指数证券投资基金基金经理、易方达沪深300非银行金融交易型开放式指数证券投资基金基金经理。现任易方达基金管理有限公司指数管理总部总经理、解决方案部总经理、投资经理，易方达资产管理（香港）有限公司就证券提供意见负责人员（RO）、提供资产管理负责人员（RO）、证券交易负责人员（RO）。</w:t>
      </w:r>
    </w:p>
    <w:p w14:paraId="0C6AB566" w14:textId="33C5E449" w:rsidR="00B649BA"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lastRenderedPageBreak/>
        <w:t>张胜记先生，同上。</w:t>
      </w:r>
    </w:p>
    <w:p w14:paraId="12E8F541" w14:textId="70B2E48D" w:rsidR="008B1879" w:rsidRPr="00487553" w:rsidRDefault="00B649BA" w:rsidP="00487553">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hint="eastAsia"/>
          <w:kern w:val="0"/>
          <w:szCs w:val="20"/>
        </w:rPr>
        <w:t>林伟斌先生，经济学博士。曾任中国金融期货交易所股份有限公司研发部研究员，易方达基金管理有限公司指数与量化投资部指数量化研究员、基金经理助理兼任指数量化研究员、量化基金组合部副总经理、量化策略部副总经理、易方达沪深300交易型开放式指数发起式证券投资基金基金经理、易方达沪深300交易型开放式指数发起式证券投资基金联接基金基金经理、易方达中证500交易型开放式指数证券投资基金基金经理、易方达黄金交易型开放式证券投资基金基金经理、易方达黄金交易型开放式证券投资基金联接基金基金经理、易方达标普医疗保健指数证券投资基金（LOF）基金经理、易方达标普500指数证券投资基金（LOF）基金经理、易方达标普生物科技指数证券投资基金（LOF）基金经理、易方达标普信息科技指数证券投资基金（LOF）基金经理、易方达纳斯达克100指数证券投资基金(LOF) 基金经理。现任易方达基金管理有限公司指数投资部副总经理</w:t>
      </w:r>
      <w:r w:rsidR="008B1879" w:rsidRPr="00487553">
        <w:rPr>
          <w:rFonts w:asciiTheme="minorEastAsia" w:eastAsiaTheme="minorEastAsia" w:hAnsiTheme="minorEastAsia" w:hint="eastAsia"/>
          <w:kern w:val="0"/>
          <w:szCs w:val="20"/>
        </w:rPr>
        <w:t>。</w:t>
      </w:r>
    </w:p>
    <w:p w14:paraId="40600958" w14:textId="77777777" w:rsidR="00A925D6" w:rsidRPr="00487553" w:rsidRDefault="00A925D6">
      <w:pPr>
        <w:pStyle w:val="af1"/>
        <w:adjustRightInd w:val="0"/>
        <w:snapToGrid w:val="0"/>
        <w:spacing w:line="360" w:lineRule="auto"/>
        <w:ind w:firstLine="420"/>
        <w:textAlignment w:val="baseline"/>
        <w:rPr>
          <w:rFonts w:asciiTheme="minorEastAsia" w:eastAsiaTheme="minorEastAsia" w:hAnsiTheme="minorEastAsia"/>
          <w:kern w:val="0"/>
          <w:szCs w:val="20"/>
        </w:rPr>
      </w:pPr>
      <w:r w:rsidRPr="00487553">
        <w:rPr>
          <w:rFonts w:asciiTheme="minorEastAsia" w:eastAsiaTheme="minorEastAsia" w:hAnsiTheme="minorEastAsia"/>
          <w:kern w:val="0"/>
          <w:szCs w:val="20"/>
        </w:rPr>
        <w:t>4</w:t>
      </w:r>
      <w:r w:rsidRPr="00487553">
        <w:rPr>
          <w:rFonts w:asciiTheme="minorEastAsia" w:eastAsiaTheme="minorEastAsia" w:hAnsiTheme="minorEastAsia" w:hint="eastAsia"/>
          <w:kern w:val="0"/>
          <w:szCs w:val="20"/>
        </w:rPr>
        <w:t>、上述人员之间均不存在近亲属关系。</w:t>
      </w:r>
    </w:p>
    <w:p w14:paraId="3F53455E" w14:textId="77777777" w:rsidR="00D94E68" w:rsidRPr="00487553" w:rsidRDefault="0064594E" w:rsidP="00D94E68">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216" w:name="_Toc133292565"/>
      <w:bookmarkStart w:id="217" w:name="_Toc163189522"/>
      <w:bookmarkStart w:id="218" w:name="_Toc20148429"/>
      <w:r w:rsidRPr="00487553">
        <w:rPr>
          <w:rFonts w:asciiTheme="minorEastAsia" w:eastAsiaTheme="minorEastAsia" w:hAnsiTheme="minorEastAsia"/>
        </w:rPr>
        <w:t>基金管理人的职责</w:t>
      </w:r>
      <w:bookmarkEnd w:id="216"/>
      <w:bookmarkEnd w:id="217"/>
      <w:bookmarkEnd w:id="218"/>
    </w:p>
    <w:p w14:paraId="7898FD2A" w14:textId="77777777" w:rsidR="0064594E" w:rsidRPr="00487553" w:rsidRDefault="00C56AA3"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hint="eastAsia"/>
        </w:rPr>
        <w:t>依法募集资金，办理基金份额的发售和登记事宜</w:t>
      </w:r>
      <w:r w:rsidR="0064594E" w:rsidRPr="00487553">
        <w:rPr>
          <w:rFonts w:asciiTheme="minorEastAsia" w:eastAsiaTheme="minorEastAsia" w:hAnsiTheme="minorEastAsia"/>
        </w:rPr>
        <w:t>；</w:t>
      </w:r>
    </w:p>
    <w:p w14:paraId="2035222E" w14:textId="77777777" w:rsidR="0064594E" w:rsidRPr="00487553" w:rsidRDefault="0064594E"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办理基金备案手续；</w:t>
      </w:r>
    </w:p>
    <w:p w14:paraId="316D042C"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对所管理的不同基金财产分别管理、分别记账，进行证券投资；</w:t>
      </w:r>
    </w:p>
    <w:p w14:paraId="3E45CE12"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按照基金合同的约定确定基金收益分配方案，及时向基金份额持有人分配收益；</w:t>
      </w:r>
    </w:p>
    <w:p w14:paraId="16FF6A53"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进行基金会计核算并编制基金财务会计报告；</w:t>
      </w:r>
    </w:p>
    <w:p w14:paraId="5F9EA733"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编制季度、半年度和年度基金报告；</w:t>
      </w:r>
    </w:p>
    <w:p w14:paraId="64814071"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计算并公告基金资产净值，确定基金份额申购、赎回价格；</w:t>
      </w:r>
    </w:p>
    <w:p w14:paraId="4D9224FD" w14:textId="77777777" w:rsidR="009C733F" w:rsidRPr="00487553" w:rsidRDefault="009C733F"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办理与基金财产管理业务活动有关的信息披露事项；</w:t>
      </w:r>
    </w:p>
    <w:p w14:paraId="7AA1D400" w14:textId="77777777" w:rsidR="009C733F" w:rsidRPr="00487553" w:rsidRDefault="00C56AA3" w:rsidP="00D94E68">
      <w:pPr>
        <w:numPr>
          <w:ilvl w:val="0"/>
          <w:numId w:val="3"/>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hint="eastAsia"/>
        </w:rPr>
        <w:t>按照规定</w:t>
      </w:r>
      <w:r w:rsidR="009C733F" w:rsidRPr="00487553">
        <w:rPr>
          <w:rFonts w:asciiTheme="minorEastAsia" w:eastAsiaTheme="minorEastAsia" w:hAnsiTheme="minorEastAsia"/>
        </w:rPr>
        <w:t>召集基金份额持有人大会；</w:t>
      </w:r>
    </w:p>
    <w:p w14:paraId="2D4EF8E4" w14:textId="77777777" w:rsidR="009C733F" w:rsidRPr="00487553" w:rsidRDefault="009C733F" w:rsidP="00D94E68">
      <w:pPr>
        <w:tabs>
          <w:tab w:val="left" w:pos="735"/>
        </w:tabs>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10、</w:t>
      </w:r>
      <w:r w:rsidR="006F70CC" w:rsidRPr="00487553">
        <w:rPr>
          <w:rFonts w:asciiTheme="minorEastAsia" w:eastAsiaTheme="minorEastAsia" w:hAnsiTheme="minorEastAsia" w:hint="eastAsia"/>
        </w:rPr>
        <w:t>保存</w:t>
      </w:r>
      <w:r w:rsidRPr="00487553">
        <w:rPr>
          <w:rFonts w:asciiTheme="minorEastAsia" w:eastAsiaTheme="minorEastAsia" w:hAnsiTheme="minorEastAsia"/>
        </w:rPr>
        <w:t>基金财产管理业务活动的记录、账册、报表和其他相关资料；</w:t>
      </w:r>
    </w:p>
    <w:p w14:paraId="49AF0417" w14:textId="77777777" w:rsidR="009C733F" w:rsidRPr="00487553" w:rsidRDefault="009C733F" w:rsidP="00D94E68">
      <w:pPr>
        <w:tabs>
          <w:tab w:val="left" w:pos="735"/>
        </w:tabs>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11、以基金管理人名义，代表基金份额持有人利益行使诉讼权利或者实施其他法律行为；</w:t>
      </w:r>
    </w:p>
    <w:p w14:paraId="5A3CC836" w14:textId="77777777" w:rsidR="009C733F" w:rsidRPr="00487553" w:rsidRDefault="009C733F" w:rsidP="00D94E68">
      <w:pPr>
        <w:tabs>
          <w:tab w:val="left" w:pos="735"/>
        </w:tabs>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12、选择、更换或撤销境外投资顾问；</w:t>
      </w:r>
    </w:p>
    <w:p w14:paraId="68D9A1FF" w14:textId="77777777" w:rsidR="00A14E2F" w:rsidRPr="00487553" w:rsidRDefault="009C733F" w:rsidP="00D94E68">
      <w:pPr>
        <w:tabs>
          <w:tab w:val="left" w:pos="735"/>
        </w:tabs>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13、国务院证券监督管理机构规定的其他职责</w:t>
      </w:r>
      <w:r w:rsidR="00A14E2F" w:rsidRPr="00487553">
        <w:rPr>
          <w:rFonts w:asciiTheme="minorEastAsia" w:eastAsiaTheme="minorEastAsia" w:hAnsiTheme="minorEastAsia"/>
        </w:rPr>
        <w:t>。</w:t>
      </w:r>
    </w:p>
    <w:p w14:paraId="0028A070" w14:textId="77777777" w:rsidR="00D94E68" w:rsidRPr="00487553" w:rsidRDefault="00082AC6" w:rsidP="00D94E68">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219" w:name="_Toc272569765"/>
      <w:bookmarkStart w:id="220" w:name="_Toc272569766"/>
      <w:bookmarkStart w:id="221" w:name="_Toc272569767"/>
      <w:bookmarkStart w:id="222" w:name="_Toc272569768"/>
      <w:bookmarkStart w:id="223" w:name="_Toc272569769"/>
      <w:bookmarkStart w:id="224" w:name="_Toc272569770"/>
      <w:bookmarkStart w:id="225" w:name="_Toc272569771"/>
      <w:bookmarkStart w:id="226" w:name="_Toc272569772"/>
      <w:bookmarkStart w:id="227" w:name="_Toc272569773"/>
      <w:bookmarkStart w:id="228" w:name="_Toc133292566"/>
      <w:bookmarkStart w:id="229" w:name="_Toc163189523"/>
      <w:bookmarkStart w:id="230" w:name="_Toc20148430"/>
      <w:bookmarkEnd w:id="219"/>
      <w:bookmarkEnd w:id="220"/>
      <w:bookmarkEnd w:id="221"/>
      <w:bookmarkEnd w:id="222"/>
      <w:bookmarkEnd w:id="223"/>
      <w:bookmarkEnd w:id="224"/>
      <w:bookmarkEnd w:id="225"/>
      <w:bookmarkEnd w:id="226"/>
      <w:bookmarkEnd w:id="227"/>
      <w:r w:rsidRPr="00487553">
        <w:rPr>
          <w:rFonts w:asciiTheme="minorEastAsia" w:eastAsiaTheme="minorEastAsia" w:hAnsiTheme="minorEastAsia"/>
        </w:rPr>
        <w:t>基</w:t>
      </w:r>
      <w:r w:rsidR="0064594E" w:rsidRPr="00487553">
        <w:rPr>
          <w:rFonts w:asciiTheme="minorEastAsia" w:eastAsiaTheme="minorEastAsia" w:hAnsiTheme="minorEastAsia"/>
        </w:rPr>
        <w:t>金管理人的承诺</w:t>
      </w:r>
      <w:bookmarkEnd w:id="228"/>
      <w:bookmarkEnd w:id="229"/>
      <w:bookmarkEnd w:id="230"/>
    </w:p>
    <w:p w14:paraId="319F9246" w14:textId="77777777" w:rsidR="0064594E" w:rsidRPr="00487553" w:rsidRDefault="0064594E" w:rsidP="00D94E68">
      <w:pPr>
        <w:autoSpaceDE w:val="0"/>
        <w:autoSpaceDN w:val="0"/>
        <w:adjustRightInd w:val="0"/>
        <w:snapToGrid w:val="0"/>
        <w:spacing w:line="360" w:lineRule="auto"/>
        <w:ind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w:t>
      </w:r>
      <w:r w:rsidRPr="00487553">
        <w:rPr>
          <w:rFonts w:asciiTheme="minorEastAsia" w:eastAsiaTheme="minorEastAsia" w:hAnsiTheme="minorEastAsia"/>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51BB5A00"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rPr>
      </w:pPr>
      <w:r w:rsidRPr="00487553">
        <w:rPr>
          <w:rFonts w:asciiTheme="minorEastAsia" w:eastAsiaTheme="minorEastAsia" w:hAnsiTheme="minorEastAsia"/>
          <w:kern w:val="0"/>
          <w:szCs w:val="21"/>
        </w:rPr>
        <w:t>2、</w:t>
      </w:r>
      <w:r w:rsidRPr="00487553">
        <w:rPr>
          <w:rFonts w:asciiTheme="minorEastAsia" w:eastAsiaTheme="minorEastAsia" w:hAnsiTheme="minorEastAsia"/>
        </w:rPr>
        <w:t>本基金管理人承诺严格遵守《证券法》、《基金法》及有关法律法规，建立健全内部控制制度，采取有效措施，防止下列行为发生：</w:t>
      </w:r>
    </w:p>
    <w:p w14:paraId="1B78A0AC" w14:textId="77777777" w:rsidR="00307EB1" w:rsidRPr="00487553" w:rsidRDefault="00A6308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（1）</w:t>
      </w:r>
      <w:r w:rsidR="00307EB1" w:rsidRPr="00487553">
        <w:rPr>
          <w:rFonts w:asciiTheme="minorEastAsia" w:eastAsiaTheme="minorEastAsia" w:hAnsiTheme="minorEastAsia"/>
          <w:kern w:val="0"/>
          <w:szCs w:val="21"/>
        </w:rPr>
        <w:t>将其固有财产或者他人财产混同于基金财产从事证券投资；</w:t>
      </w:r>
    </w:p>
    <w:p w14:paraId="7DB8A4D2" w14:textId="77777777" w:rsidR="00307EB1" w:rsidRPr="00487553" w:rsidRDefault="00A6308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307EB1" w:rsidRPr="00487553">
        <w:rPr>
          <w:rFonts w:asciiTheme="minorEastAsia" w:eastAsiaTheme="minorEastAsia" w:hAnsiTheme="minorEastAsia"/>
          <w:kern w:val="0"/>
          <w:szCs w:val="21"/>
        </w:rPr>
        <w:t>不公平地对待其管理的不同基金财产；</w:t>
      </w:r>
    </w:p>
    <w:p w14:paraId="2F98114A" w14:textId="77777777" w:rsidR="00307EB1" w:rsidRPr="00487553" w:rsidRDefault="00A6308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00307EB1" w:rsidRPr="00487553">
        <w:rPr>
          <w:rFonts w:asciiTheme="minorEastAsia" w:eastAsiaTheme="minorEastAsia" w:hAnsiTheme="minorEastAsia"/>
          <w:kern w:val="0"/>
          <w:szCs w:val="21"/>
        </w:rPr>
        <w:t>利用基金财产</w:t>
      </w:r>
      <w:r w:rsidR="00C56AA3" w:rsidRPr="00487553">
        <w:rPr>
          <w:rFonts w:asciiTheme="minorEastAsia" w:eastAsiaTheme="minorEastAsia" w:hAnsiTheme="minorEastAsia" w:hint="eastAsia"/>
        </w:rPr>
        <w:t>或者职务之便</w:t>
      </w:r>
      <w:r w:rsidR="00307EB1" w:rsidRPr="00487553">
        <w:rPr>
          <w:rFonts w:asciiTheme="minorEastAsia" w:eastAsiaTheme="minorEastAsia" w:hAnsiTheme="minorEastAsia"/>
          <w:kern w:val="0"/>
          <w:szCs w:val="21"/>
        </w:rPr>
        <w:t>为基金份额持有人以外的第三人谋取利益；</w:t>
      </w:r>
    </w:p>
    <w:p w14:paraId="77DC073E" w14:textId="77777777" w:rsidR="00307EB1" w:rsidRPr="00487553" w:rsidRDefault="00A6308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w:t>
      </w:r>
      <w:r w:rsidR="00307EB1" w:rsidRPr="00487553">
        <w:rPr>
          <w:rFonts w:asciiTheme="minorEastAsia" w:eastAsiaTheme="minorEastAsia" w:hAnsiTheme="minorEastAsia"/>
          <w:kern w:val="0"/>
          <w:szCs w:val="21"/>
        </w:rPr>
        <w:t>向基金份额持有人违规承诺收益或者承担损失；</w:t>
      </w:r>
    </w:p>
    <w:p w14:paraId="4F0EBAAD" w14:textId="77777777" w:rsidR="00C56AA3" w:rsidRPr="00487553" w:rsidRDefault="00A6308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00C56AA3" w:rsidRPr="00487553">
        <w:rPr>
          <w:rFonts w:asciiTheme="minorEastAsia" w:eastAsiaTheme="minorEastAsia" w:hAnsiTheme="minorEastAsia" w:hint="eastAsia"/>
          <w:kern w:val="0"/>
          <w:szCs w:val="21"/>
        </w:rPr>
        <w:t>侵占、挪用基金财产；</w:t>
      </w:r>
    </w:p>
    <w:p w14:paraId="031C6115" w14:textId="77777777" w:rsidR="00C56AA3" w:rsidRPr="00487553" w:rsidRDefault="00C56AA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（6）泄露因职务便利获取的未公开信息、利用该信息从事或者明示、暗示他人从事相关的交易活动；</w:t>
      </w:r>
    </w:p>
    <w:p w14:paraId="72C51B1F" w14:textId="77777777" w:rsidR="00C56AA3" w:rsidRPr="00487553" w:rsidRDefault="00C56AA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（7）玩忽职守，不按照规定履行职责；</w:t>
      </w:r>
    </w:p>
    <w:p w14:paraId="0EAE72D2" w14:textId="77777777" w:rsidR="0064594E" w:rsidRPr="00487553" w:rsidRDefault="00C56AA3"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（8）法律、行政法规和中国证监会规定禁止的其他行为。</w:t>
      </w:r>
    </w:p>
    <w:p w14:paraId="5577A4C0"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3、本基金管理人承诺加强人员管理，强化职业操守，督促和约束员工遵守国家有关法律、法规及行业规范，诚实信用、勤勉尽责，不从事以下活动：</w:t>
      </w:r>
    </w:p>
    <w:p w14:paraId="69F83802"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（1）越权或违规经营；</w:t>
      </w:r>
    </w:p>
    <w:p w14:paraId="728991E5"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（2）违反基金合同或托管协议；</w:t>
      </w:r>
    </w:p>
    <w:p w14:paraId="22AEF0FC"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（3）故意损害基金份额持有人或其他基金相关机构的合法利益；</w:t>
      </w:r>
    </w:p>
    <w:p w14:paraId="2C5FB184"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（4）在向中国证监会报送的资料中弄虚作假；</w:t>
      </w:r>
    </w:p>
    <w:p w14:paraId="6E29D0BE"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（5）拒绝、干扰、阻挠或严重影响中国证监会依法监管；</w:t>
      </w:r>
    </w:p>
    <w:p w14:paraId="553A0747" w14:textId="77777777" w:rsidR="0064594E" w:rsidRPr="00487553" w:rsidRDefault="0064594E" w:rsidP="00D94E68">
      <w:pPr>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（6）玩忽职守、滥用职权；</w:t>
      </w:r>
    </w:p>
    <w:p w14:paraId="2E360B2E" w14:textId="77777777" w:rsidR="0064594E" w:rsidRPr="00487553" w:rsidRDefault="0064594E" w:rsidP="00D94E68">
      <w:pPr>
        <w:tabs>
          <w:tab w:val="left" w:pos="851"/>
        </w:tabs>
        <w:autoSpaceDE w:val="0"/>
        <w:autoSpaceDN w:val="0"/>
        <w:adjustRightInd w:val="0"/>
        <w:snapToGrid w:val="0"/>
        <w:spacing w:line="360" w:lineRule="auto"/>
        <w:ind w:firstLine="426"/>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（7）违反现行有效的有关法律、法规、规章、基金合同和中国证监会的有关规定，泄漏在任职期间知悉的有关证券、基金的商业秘密，尚未依法公开的基金投资内容、基金投资计划等信息；</w:t>
      </w:r>
    </w:p>
    <w:p w14:paraId="6A57BC20" w14:textId="77777777" w:rsidR="0064594E"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（8）违反证券交易场所业务规则，利用对敲、倒仓等手段操纵市场价格，扰乱市场秩序；</w:t>
      </w:r>
    </w:p>
    <w:p w14:paraId="42D8FE5A" w14:textId="77777777" w:rsidR="0064594E"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（9）贬损同行，以抬高自己；</w:t>
      </w:r>
    </w:p>
    <w:p w14:paraId="19A29DA9" w14:textId="77777777" w:rsidR="00A4329B"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（10）以不正当手段谋求业务发展；</w:t>
      </w:r>
    </w:p>
    <w:p w14:paraId="0E872381" w14:textId="77777777" w:rsidR="0064594E"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（11）有悖社会公德，损害证券投资基金人员形象；</w:t>
      </w:r>
    </w:p>
    <w:p w14:paraId="7169CDCC" w14:textId="77777777" w:rsidR="0064594E"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（12）在公开信息披露和广告中故意含有虚假、误导、欺诈成分；</w:t>
      </w:r>
    </w:p>
    <w:p w14:paraId="03090552" w14:textId="77777777" w:rsidR="0064594E" w:rsidRPr="00487553" w:rsidRDefault="0064594E"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（13）其他法律、行政法规以及中国证监会禁止的行为。</w:t>
      </w:r>
    </w:p>
    <w:p w14:paraId="0C1DD829"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4、基金经理承诺</w:t>
      </w:r>
    </w:p>
    <w:p w14:paraId="6FFA474E"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（1）依照有关法律、法规和基金合同的规定，本着谨慎的原则为基金份额持有人谋取最大利益；</w:t>
      </w:r>
    </w:p>
    <w:p w14:paraId="6F8E64D3"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487553">
        <w:rPr>
          <w:rFonts w:asciiTheme="minorEastAsia" w:eastAsiaTheme="minorEastAsia" w:hAnsiTheme="minorEastAsia"/>
          <w:kern w:val="0"/>
          <w:szCs w:val="21"/>
        </w:rPr>
        <w:t>（2）不利用职务之便为自己及其代理人、受雇人或任何第三人谋取利益；</w:t>
      </w:r>
    </w:p>
    <w:p w14:paraId="44BEDA21"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rPr>
      </w:pPr>
      <w:r w:rsidRPr="00487553">
        <w:rPr>
          <w:rFonts w:asciiTheme="minorEastAsia" w:eastAsiaTheme="minorEastAsia" w:hAnsiTheme="minorEastAsia"/>
          <w:kern w:val="0"/>
        </w:rPr>
        <w:t>（3）不</w:t>
      </w:r>
      <w:r w:rsidRPr="00487553">
        <w:rPr>
          <w:rFonts w:asciiTheme="minorEastAsia" w:eastAsiaTheme="minorEastAsia" w:hAnsiTheme="minorEastAsia"/>
          <w:kern w:val="0"/>
          <w:szCs w:val="21"/>
        </w:rPr>
        <w:t>违反现行有效的有关法律、法规、规章、基金合同和中国证监会的有关规定，</w:t>
      </w:r>
      <w:r w:rsidRPr="00487553">
        <w:rPr>
          <w:rFonts w:asciiTheme="minorEastAsia" w:eastAsiaTheme="minorEastAsia" w:hAnsiTheme="minorEastAsia"/>
          <w:kern w:val="0"/>
        </w:rPr>
        <w:t>泄漏在任职期间知悉的有关证券、基金的商业秘密、尚未依法公开的基金投资内容、基金投资计划等信息；</w:t>
      </w:r>
    </w:p>
    <w:p w14:paraId="68C2F7FB" w14:textId="77777777" w:rsidR="0064594E" w:rsidRPr="00487553" w:rsidRDefault="0064594E"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rPr>
      </w:pPr>
      <w:r w:rsidRPr="00487553">
        <w:rPr>
          <w:rFonts w:asciiTheme="minorEastAsia" w:eastAsiaTheme="minorEastAsia" w:hAnsiTheme="minorEastAsia"/>
          <w:kern w:val="0"/>
        </w:rPr>
        <w:lastRenderedPageBreak/>
        <w:t>（4）不从事损害基金财产和基金份额持有人利益的证券交易及其他活动。</w:t>
      </w:r>
    </w:p>
    <w:p w14:paraId="1AB049C7" w14:textId="77777777" w:rsidR="00D94E68" w:rsidRPr="00487553" w:rsidRDefault="0064594E" w:rsidP="00D94E68">
      <w:pPr>
        <w:pStyle w:val="2"/>
        <w:numPr>
          <w:ilvl w:val="1"/>
          <w:numId w:val="14"/>
        </w:numPr>
        <w:snapToGrid w:val="0"/>
        <w:spacing w:beforeLines="0" w:afterLines="0" w:line="360" w:lineRule="auto"/>
        <w:ind w:left="0" w:firstLineChars="0" w:firstLine="0"/>
        <w:rPr>
          <w:rFonts w:asciiTheme="minorEastAsia" w:eastAsiaTheme="minorEastAsia" w:hAnsiTheme="minorEastAsia"/>
        </w:rPr>
      </w:pPr>
      <w:bookmarkStart w:id="231" w:name="_Toc133292567"/>
      <w:bookmarkStart w:id="232" w:name="_Toc163189524"/>
      <w:bookmarkStart w:id="233" w:name="_Toc20148431"/>
      <w:r w:rsidRPr="00487553">
        <w:rPr>
          <w:rFonts w:asciiTheme="minorEastAsia" w:eastAsiaTheme="minorEastAsia" w:hAnsiTheme="minorEastAsia"/>
        </w:rPr>
        <w:t>基金管理人的内部控制制度</w:t>
      </w:r>
      <w:bookmarkEnd w:id="231"/>
      <w:bookmarkEnd w:id="232"/>
      <w:bookmarkEnd w:id="233"/>
    </w:p>
    <w:p w14:paraId="780B18DA"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为保证公司规范化运作，有效地防范和化解经营风险，促进公司诚信、合法、有效经营，保障基金份额持有人利益，维护公司及公司股东的合法权益，本基金管理人建立了科学、严密、高效的内部控制体系。</w:t>
      </w:r>
    </w:p>
    <w:p w14:paraId="5CC560EC" w14:textId="77777777" w:rsidR="0064594E" w:rsidRPr="00487553" w:rsidRDefault="0064594E" w:rsidP="00D94E68">
      <w:pPr>
        <w:numPr>
          <w:ilvl w:val="0"/>
          <w:numId w:val="5"/>
        </w:numPr>
        <w:tabs>
          <w:tab w:val="left" w:pos="735"/>
        </w:tabs>
        <w:snapToGrid w:val="0"/>
        <w:spacing w:line="360" w:lineRule="auto"/>
        <w:rPr>
          <w:rFonts w:asciiTheme="minorEastAsia" w:eastAsiaTheme="minorEastAsia" w:hAnsiTheme="minorEastAsia"/>
          <w:bCs/>
          <w:szCs w:val="21"/>
        </w:rPr>
      </w:pPr>
      <w:r w:rsidRPr="00487553">
        <w:rPr>
          <w:rFonts w:asciiTheme="minorEastAsia" w:eastAsiaTheme="minorEastAsia" w:hAnsiTheme="minorEastAsia"/>
          <w:bCs/>
        </w:rPr>
        <w:t>公司内部控制的总体目标</w:t>
      </w:r>
    </w:p>
    <w:p w14:paraId="1B243626" w14:textId="77777777" w:rsidR="0064594E" w:rsidRPr="00487553" w:rsidRDefault="001F6D20"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0064594E" w:rsidRPr="00487553">
        <w:rPr>
          <w:rFonts w:asciiTheme="minorEastAsia" w:eastAsiaTheme="minorEastAsia" w:hAnsiTheme="minorEastAsia"/>
          <w:kern w:val="0"/>
          <w:szCs w:val="21"/>
        </w:rPr>
        <w:t>保证公司经营管理活动的合法合规性；</w:t>
      </w:r>
    </w:p>
    <w:p w14:paraId="573DFF4F" w14:textId="77777777" w:rsidR="0064594E" w:rsidRPr="00487553" w:rsidRDefault="001F6D20"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64594E" w:rsidRPr="00487553">
        <w:rPr>
          <w:rFonts w:asciiTheme="minorEastAsia" w:eastAsiaTheme="minorEastAsia" w:hAnsiTheme="minorEastAsia"/>
          <w:kern w:val="0"/>
          <w:szCs w:val="21"/>
        </w:rPr>
        <w:t>保证基金份额持有人的合法权益不受侵犯；</w:t>
      </w:r>
    </w:p>
    <w:p w14:paraId="007859B0" w14:textId="77777777" w:rsidR="0064594E" w:rsidRPr="00487553" w:rsidRDefault="001F6D20"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0064594E" w:rsidRPr="00487553">
        <w:rPr>
          <w:rFonts w:asciiTheme="minorEastAsia" w:eastAsiaTheme="minorEastAsia" w:hAnsiTheme="minorEastAsia"/>
          <w:kern w:val="0"/>
          <w:szCs w:val="21"/>
        </w:rPr>
        <w:t>实现公司稳健、持续发展，维护股东权益；</w:t>
      </w:r>
    </w:p>
    <w:p w14:paraId="24155C34" w14:textId="77777777" w:rsidR="0064594E" w:rsidRPr="00487553" w:rsidRDefault="001F6D20"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w:t>
      </w:r>
      <w:r w:rsidR="0064594E" w:rsidRPr="00487553">
        <w:rPr>
          <w:rFonts w:asciiTheme="minorEastAsia" w:eastAsiaTheme="minorEastAsia" w:hAnsiTheme="minorEastAsia"/>
          <w:kern w:val="0"/>
          <w:szCs w:val="21"/>
        </w:rPr>
        <w:t>促进公司全体员工恪守职业操守，正直诚信，廉洁自律，勤勉尽责；</w:t>
      </w:r>
    </w:p>
    <w:p w14:paraId="627EF142" w14:textId="77777777" w:rsidR="0064594E" w:rsidRPr="00487553" w:rsidRDefault="001F6D20" w:rsidP="00D94E68">
      <w:pPr>
        <w:tabs>
          <w:tab w:val="left" w:pos="851"/>
        </w:tabs>
        <w:autoSpaceDE w:val="0"/>
        <w:autoSpaceDN w:val="0"/>
        <w:adjustRightInd w:val="0"/>
        <w:snapToGrid w:val="0"/>
        <w:spacing w:line="360" w:lineRule="auto"/>
        <w:ind w:firstLineChars="202" w:firstLine="424"/>
        <w:jc w:val="left"/>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0064594E" w:rsidRPr="00487553">
        <w:rPr>
          <w:rFonts w:asciiTheme="minorEastAsia" w:eastAsiaTheme="minorEastAsia" w:hAnsiTheme="minorEastAsia"/>
          <w:kern w:val="0"/>
          <w:szCs w:val="21"/>
        </w:rPr>
        <w:t>保护公司最重要的资本：公司声誉。</w:t>
      </w:r>
    </w:p>
    <w:p w14:paraId="3AFA696D" w14:textId="77777777" w:rsidR="0064594E" w:rsidRPr="00487553" w:rsidRDefault="0064594E" w:rsidP="00D94E68">
      <w:pPr>
        <w:numPr>
          <w:ilvl w:val="0"/>
          <w:numId w:val="5"/>
        </w:numPr>
        <w:tabs>
          <w:tab w:val="left" w:pos="735"/>
        </w:tabs>
        <w:snapToGrid w:val="0"/>
        <w:spacing w:line="360" w:lineRule="auto"/>
        <w:rPr>
          <w:rFonts w:asciiTheme="minorEastAsia" w:eastAsiaTheme="minorEastAsia" w:hAnsiTheme="minorEastAsia"/>
          <w:bCs/>
          <w:szCs w:val="21"/>
        </w:rPr>
      </w:pPr>
      <w:r w:rsidRPr="00487553">
        <w:rPr>
          <w:rFonts w:asciiTheme="minorEastAsia" w:eastAsiaTheme="minorEastAsia" w:hAnsiTheme="minorEastAsia"/>
          <w:bCs/>
        </w:rPr>
        <w:t>公司内部控制遵循的原则</w:t>
      </w:r>
    </w:p>
    <w:p w14:paraId="33AB40BB"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全面性原则：内部控制必须覆盖公司的所有部门和岗位，渗透各项业务过程和业务环节，并普遍适用于公司每一位职员；</w:t>
      </w:r>
    </w:p>
    <w:p w14:paraId="4BDF205F"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审慎性原则：内部控制的核心是有效防范各种风险，公司组织体系的构成、内部管理制度的建立都要以防范风险、审慎经营为出发点；</w:t>
      </w:r>
    </w:p>
    <w:p w14:paraId="49E9BF91"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相互制约原则：公司设置的各部门、各岗位权责分明、相互制衡</w:t>
      </w:r>
      <w:r w:rsidR="006B1D6E" w:rsidRPr="00487553">
        <w:rPr>
          <w:rFonts w:asciiTheme="minorEastAsia" w:eastAsiaTheme="minorEastAsia" w:hAnsiTheme="minorEastAsia" w:hint="eastAsia"/>
        </w:rPr>
        <w:t>；</w:t>
      </w:r>
    </w:p>
    <w:p w14:paraId="2766FC76"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独立性原则：公司根据业务的需要设立相对独立的机构、部门和岗位；公司内部部门和岗位的设置必须权责分明；</w:t>
      </w:r>
    </w:p>
    <w:p w14:paraId="34F00C17"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有效性原则：各种内部管理制度具有高度的权威性，应是所有员工严格遵守的行动指南；执行内部管理制度不能有任何例外，任何人不得拥有超越制度或违反规章的权力；</w:t>
      </w:r>
    </w:p>
    <w:p w14:paraId="780CA44C"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适时性原则：内部控制应具有前瞻性，并且必须随着公司经营战略、经营方针、经营理念等内部环境的变化和国家法律、法规、政策制度等外部环境的改变及时进行相应的修改和完善；</w:t>
      </w:r>
    </w:p>
    <w:p w14:paraId="1807DE90" w14:textId="77777777" w:rsidR="0064594E" w:rsidRPr="00487553" w:rsidRDefault="0064594E" w:rsidP="00D94E68">
      <w:pPr>
        <w:numPr>
          <w:ilvl w:val="0"/>
          <w:numId w:val="6"/>
        </w:numPr>
        <w:tabs>
          <w:tab w:val="clear" w:pos="851"/>
          <w:tab w:val="num" w:pos="993"/>
        </w:tabs>
        <w:snapToGrid w:val="0"/>
        <w:spacing w:line="360" w:lineRule="auto"/>
        <w:ind w:left="0" w:firstLine="426"/>
        <w:rPr>
          <w:rFonts w:asciiTheme="minorEastAsia" w:eastAsiaTheme="minorEastAsia" w:hAnsiTheme="minorEastAsia"/>
        </w:rPr>
      </w:pPr>
      <w:r w:rsidRPr="00487553">
        <w:rPr>
          <w:rFonts w:asciiTheme="minorEastAsia" w:eastAsiaTheme="minorEastAsia" w:hAnsiTheme="minorEastAsia"/>
        </w:rPr>
        <w:t>成本效益原则：公司运用科学化的经营管理方法降低运作成本，提高经济效益，力争以合理的控制成本达到最佳的内部控制效果。</w:t>
      </w:r>
    </w:p>
    <w:p w14:paraId="00F203F9" w14:textId="77777777" w:rsidR="0064594E" w:rsidRPr="00487553" w:rsidRDefault="0064594E" w:rsidP="00D94E68">
      <w:pPr>
        <w:numPr>
          <w:ilvl w:val="0"/>
          <w:numId w:val="5"/>
        </w:numPr>
        <w:tabs>
          <w:tab w:val="left" w:pos="735"/>
        </w:tabs>
        <w:snapToGrid w:val="0"/>
        <w:spacing w:line="360" w:lineRule="auto"/>
        <w:rPr>
          <w:rFonts w:asciiTheme="minorEastAsia" w:eastAsiaTheme="minorEastAsia" w:hAnsiTheme="minorEastAsia"/>
          <w:bCs/>
        </w:rPr>
      </w:pPr>
      <w:r w:rsidRPr="00487553">
        <w:rPr>
          <w:rFonts w:asciiTheme="minorEastAsia" w:eastAsiaTheme="minorEastAsia" w:hAnsiTheme="minorEastAsia"/>
          <w:bCs/>
        </w:rPr>
        <w:t>内部控制的制度体系</w:t>
      </w:r>
    </w:p>
    <w:p w14:paraId="5F8F09C6"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w:t>
      </w:r>
      <w:r w:rsidRPr="00487553">
        <w:rPr>
          <w:rFonts w:asciiTheme="minorEastAsia" w:eastAsiaTheme="minorEastAsia" w:hAnsiTheme="minorEastAsia"/>
          <w:szCs w:val="21"/>
        </w:rPr>
        <w:lastRenderedPageBreak/>
        <w:t>不断检讨和增强公司制度的完备性、有效性。</w:t>
      </w:r>
    </w:p>
    <w:p w14:paraId="0D76D21E" w14:textId="77777777" w:rsidR="0064594E" w:rsidRPr="00487553" w:rsidRDefault="0064594E" w:rsidP="00D94E68">
      <w:pPr>
        <w:numPr>
          <w:ilvl w:val="0"/>
          <w:numId w:val="5"/>
        </w:numPr>
        <w:tabs>
          <w:tab w:val="left" w:pos="735"/>
        </w:tabs>
        <w:snapToGrid w:val="0"/>
        <w:spacing w:line="360" w:lineRule="auto"/>
        <w:rPr>
          <w:rFonts w:asciiTheme="minorEastAsia" w:eastAsiaTheme="minorEastAsia" w:hAnsiTheme="minorEastAsia"/>
          <w:bCs/>
        </w:rPr>
      </w:pPr>
      <w:r w:rsidRPr="00487553">
        <w:rPr>
          <w:rFonts w:asciiTheme="minorEastAsia" w:eastAsiaTheme="minorEastAsia" w:hAnsiTheme="minorEastAsia"/>
          <w:bCs/>
        </w:rPr>
        <w:t>关于授权、研究、投资、交易等方面的控制点</w:t>
      </w:r>
    </w:p>
    <w:p w14:paraId="22677808"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rPr>
        <w:t>授权制度</w:t>
      </w:r>
    </w:p>
    <w:p w14:paraId="7674880B"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6F941696"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公司研究业务</w:t>
      </w:r>
    </w:p>
    <w:p w14:paraId="1F337DCB"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14:paraId="156D8D9F"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基金投资业务</w:t>
      </w:r>
    </w:p>
    <w:p w14:paraId="26DEBB12"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14:paraId="49BB5EC1"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rPr>
        <w:t>交易业务</w:t>
      </w:r>
    </w:p>
    <w:p w14:paraId="342EFB50"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14:paraId="096C06CE"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rPr>
        <w:t>基金会计核算</w:t>
      </w:r>
    </w:p>
    <w:p w14:paraId="104DBF0B"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14:paraId="11A6B0F0" w14:textId="77777777" w:rsidR="0064594E" w:rsidRPr="00487553" w:rsidRDefault="0064594E" w:rsidP="00D94E68">
      <w:pPr>
        <w:numPr>
          <w:ilvl w:val="0"/>
          <w:numId w:val="7"/>
        </w:numPr>
        <w:tabs>
          <w:tab w:val="left" w:pos="735"/>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rPr>
        <w:t>信息披露</w:t>
      </w:r>
    </w:p>
    <w:p w14:paraId="42DE938C" w14:textId="77777777" w:rsidR="0064594E" w:rsidRPr="00487553" w:rsidRDefault="0064594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szCs w:val="21"/>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w:t>
      </w:r>
      <w:r w:rsidRPr="00487553">
        <w:rPr>
          <w:rFonts w:asciiTheme="minorEastAsia" w:eastAsiaTheme="minorEastAsia" w:hAnsiTheme="minorEastAsia"/>
          <w:szCs w:val="21"/>
        </w:rPr>
        <w:lastRenderedPageBreak/>
        <w:t>价，对存在的问题及时提出改进办法。</w:t>
      </w:r>
    </w:p>
    <w:p w14:paraId="6FCF29B7" w14:textId="7C6F7EBB" w:rsidR="0064594E" w:rsidRPr="00487553" w:rsidRDefault="0064594E" w:rsidP="00FC674D">
      <w:pPr>
        <w:numPr>
          <w:ilvl w:val="0"/>
          <w:numId w:val="7"/>
        </w:numPr>
        <w:tabs>
          <w:tab w:val="left" w:pos="735"/>
        </w:tabs>
        <w:snapToGrid w:val="0"/>
        <w:spacing w:line="360" w:lineRule="auto"/>
        <w:rPr>
          <w:rFonts w:asciiTheme="minorEastAsia" w:eastAsiaTheme="minorEastAsia" w:hAnsiTheme="minorEastAsia"/>
          <w:szCs w:val="21"/>
        </w:rPr>
      </w:pPr>
      <w:r w:rsidRPr="00487553">
        <w:rPr>
          <w:rFonts w:asciiTheme="minorEastAsia" w:eastAsiaTheme="minorEastAsia" w:hAnsiTheme="minorEastAsia"/>
        </w:rPr>
        <w:t>监察</w:t>
      </w:r>
      <w:r w:rsidR="00FC674D" w:rsidRPr="00487553">
        <w:rPr>
          <w:rFonts w:asciiTheme="minorEastAsia" w:eastAsiaTheme="minorEastAsia" w:hAnsiTheme="minorEastAsia" w:hint="eastAsia"/>
        </w:rPr>
        <w:t>与合规管理</w:t>
      </w:r>
    </w:p>
    <w:p w14:paraId="798032BC" w14:textId="77777777" w:rsidR="00FC674D" w:rsidRPr="00487553" w:rsidRDefault="00FC674D" w:rsidP="00347BD1">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hint="eastAsia"/>
          <w:szCs w:val="21"/>
        </w:rPr>
        <w:t>公司设立督察长，经董事会聘任，报中国证监会核准。根据公司监察与合规管理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14:paraId="46274DCF" w14:textId="77777777" w:rsidR="00FC674D" w:rsidRPr="00487553" w:rsidRDefault="00FC674D" w:rsidP="00347BD1">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hint="eastAsia"/>
          <w:szCs w:val="21"/>
        </w:rPr>
        <w:t>公司设立监察与合规管理总部开展监察与合规管理工作，并保证监察与合规管理总部的独立性和权威性。公司明确了监察与合规管理总部及内部各岗位的具体职责，严格制订了专业任职条件、操作程序和组织纪律。</w:t>
      </w:r>
    </w:p>
    <w:p w14:paraId="6CE0CD3F" w14:textId="77777777" w:rsidR="00FC674D" w:rsidRPr="00487553" w:rsidRDefault="00FC674D" w:rsidP="00347BD1">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hint="eastAsia"/>
          <w:szCs w:val="21"/>
        </w:rPr>
        <w:t>监察与合规管理总部强化内部检查制度，通过定期或不定期检查内部控制制度的执行情况，促使公司各项经营管理活动的规范运行。</w:t>
      </w:r>
    </w:p>
    <w:p w14:paraId="072EDBEE" w14:textId="77777777" w:rsidR="00FC674D" w:rsidRPr="00487553" w:rsidRDefault="00FC674D" w:rsidP="00347BD1">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hint="eastAsia"/>
          <w:szCs w:val="21"/>
        </w:rPr>
        <w:t>公司董事会和管理层充分重视和支持监察与合规管理工作，对违反法律、法规和公司内部控制制度的，追究有关部门和人员的责任。</w:t>
      </w:r>
    </w:p>
    <w:p w14:paraId="0417D9B9" w14:textId="77777777" w:rsidR="0064594E" w:rsidRPr="00487553" w:rsidRDefault="0064594E" w:rsidP="00D94E68">
      <w:pPr>
        <w:numPr>
          <w:ilvl w:val="0"/>
          <w:numId w:val="5"/>
        </w:numPr>
        <w:tabs>
          <w:tab w:val="left" w:pos="735"/>
        </w:tabs>
        <w:snapToGrid w:val="0"/>
        <w:spacing w:line="360" w:lineRule="auto"/>
        <w:rPr>
          <w:rFonts w:asciiTheme="minorEastAsia" w:eastAsiaTheme="minorEastAsia" w:hAnsiTheme="minorEastAsia"/>
          <w:bCs/>
        </w:rPr>
      </w:pPr>
      <w:r w:rsidRPr="00487553">
        <w:rPr>
          <w:rFonts w:asciiTheme="minorEastAsia" w:eastAsiaTheme="minorEastAsia" w:hAnsiTheme="minorEastAsia"/>
          <w:bCs/>
        </w:rPr>
        <w:t>基金管理人关于内部控制制度声明书</w:t>
      </w:r>
    </w:p>
    <w:p w14:paraId="22083D30" w14:textId="77777777" w:rsidR="0064594E" w:rsidRPr="00487553" w:rsidRDefault="006B1D6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pPr>
      <w:r w:rsidRPr="00487553">
        <w:rPr>
          <w:rFonts w:asciiTheme="minorEastAsia" w:eastAsiaTheme="minorEastAsia" w:hAnsiTheme="minorEastAsia" w:hint="eastAsia"/>
          <w:szCs w:val="21"/>
        </w:rPr>
        <w:t>（1）</w:t>
      </w:r>
      <w:r w:rsidR="0064594E" w:rsidRPr="00487553">
        <w:rPr>
          <w:rFonts w:asciiTheme="minorEastAsia" w:eastAsiaTheme="minorEastAsia" w:hAnsiTheme="minorEastAsia"/>
          <w:szCs w:val="21"/>
        </w:rPr>
        <w:t>本公司承诺以上关于内部控制制度的披露真实、准确；</w:t>
      </w:r>
    </w:p>
    <w:p w14:paraId="31203002" w14:textId="77777777" w:rsidR="0064594E" w:rsidRPr="00487553" w:rsidRDefault="006B1D6E" w:rsidP="00D94E68">
      <w:pPr>
        <w:pStyle w:val="af"/>
        <w:autoSpaceDE w:val="0"/>
        <w:autoSpaceDN w:val="0"/>
        <w:adjustRightInd w:val="0"/>
        <w:snapToGrid w:val="0"/>
        <w:spacing w:line="360" w:lineRule="auto"/>
        <w:ind w:firstLineChars="200"/>
        <w:rPr>
          <w:rFonts w:asciiTheme="minorEastAsia" w:eastAsiaTheme="minorEastAsia" w:hAnsiTheme="minorEastAsia"/>
          <w:szCs w:val="21"/>
        </w:rPr>
        <w:sectPr w:rsidR="0064594E" w:rsidRPr="00487553" w:rsidSect="00294707">
          <w:pgSz w:w="11906" w:h="16838" w:code="9"/>
          <w:pgMar w:top="1440" w:right="1797" w:bottom="1440" w:left="1797" w:header="851" w:footer="992" w:gutter="0"/>
          <w:cols w:space="425"/>
          <w:docGrid w:type="linesAndChars" w:linePitch="312"/>
        </w:sectPr>
      </w:pPr>
      <w:r w:rsidRPr="00487553">
        <w:rPr>
          <w:rFonts w:asciiTheme="minorEastAsia" w:eastAsiaTheme="minorEastAsia" w:hAnsiTheme="minorEastAsia" w:hint="eastAsia"/>
          <w:szCs w:val="21"/>
        </w:rPr>
        <w:t>（2）</w:t>
      </w:r>
      <w:r w:rsidR="0064594E" w:rsidRPr="00487553">
        <w:rPr>
          <w:rFonts w:asciiTheme="minorEastAsia" w:eastAsiaTheme="minorEastAsia" w:hAnsiTheme="minorEastAsia"/>
          <w:szCs w:val="21"/>
        </w:rPr>
        <w:t>本公司承诺根据市场变化和公司业务发展不断完善内部控制制度。</w:t>
      </w:r>
    </w:p>
    <w:p w14:paraId="3ADE80D6" w14:textId="77777777" w:rsidR="003A6F89" w:rsidRPr="00487553" w:rsidRDefault="00CF4B01" w:rsidP="00D94E68">
      <w:pPr>
        <w:pStyle w:val="11"/>
        <w:pageBreakBefore w:val="0"/>
        <w:numPr>
          <w:ilvl w:val="0"/>
          <w:numId w:val="14"/>
        </w:numPr>
        <w:snapToGrid w:val="0"/>
        <w:spacing w:beforeLines="0" w:afterLines="0" w:line="360" w:lineRule="auto"/>
        <w:ind w:left="1809" w:firstLineChars="0" w:hanging="1168"/>
        <w:rPr>
          <w:rFonts w:asciiTheme="minorEastAsia" w:eastAsiaTheme="minorEastAsia" w:hAnsiTheme="minorEastAsia"/>
        </w:rPr>
      </w:pPr>
      <w:bookmarkStart w:id="234" w:name="_Toc296440126"/>
      <w:bookmarkStart w:id="235" w:name="_Toc296526963"/>
      <w:bookmarkStart w:id="236" w:name="_Toc20148432"/>
      <w:bookmarkStart w:id="237" w:name="_Toc38432432"/>
      <w:bookmarkEnd w:id="234"/>
      <w:bookmarkEnd w:id="235"/>
      <w:r w:rsidRPr="00487553">
        <w:rPr>
          <w:rFonts w:asciiTheme="minorEastAsia" w:eastAsiaTheme="minorEastAsia" w:hAnsiTheme="minorEastAsia" w:hint="eastAsia"/>
        </w:rPr>
        <w:lastRenderedPageBreak/>
        <w:t>基金份额</w:t>
      </w:r>
      <w:r w:rsidR="003A6F89" w:rsidRPr="00487553">
        <w:rPr>
          <w:rFonts w:asciiTheme="minorEastAsia" w:eastAsiaTheme="minorEastAsia" w:hAnsiTheme="minorEastAsia" w:hint="eastAsia"/>
        </w:rPr>
        <w:t>类</w:t>
      </w:r>
      <w:r w:rsidRPr="00487553">
        <w:rPr>
          <w:rFonts w:asciiTheme="minorEastAsia" w:eastAsiaTheme="minorEastAsia" w:hAnsiTheme="minorEastAsia" w:hint="eastAsia"/>
        </w:rPr>
        <w:t>别</w:t>
      </w:r>
      <w:bookmarkEnd w:id="236"/>
    </w:p>
    <w:p w14:paraId="05016FDB" w14:textId="77777777" w:rsidR="00304379" w:rsidRPr="00487553" w:rsidRDefault="00F00EE2" w:rsidP="00D94E68">
      <w:pPr>
        <w:pStyle w:val="af"/>
        <w:autoSpaceDE w:val="0"/>
        <w:autoSpaceDN w:val="0"/>
        <w:adjustRightInd w:val="0"/>
        <w:snapToGrid w:val="0"/>
        <w:spacing w:line="360" w:lineRule="auto"/>
        <w:ind w:firstLineChars="200"/>
        <w:rPr>
          <w:rFonts w:asciiTheme="minorEastAsia" w:eastAsiaTheme="minorEastAsia" w:hAnsiTheme="minorEastAsia"/>
          <w:bCs/>
        </w:rPr>
      </w:pPr>
      <w:r w:rsidRPr="00487553">
        <w:rPr>
          <w:rFonts w:asciiTheme="minorEastAsia" w:eastAsiaTheme="minorEastAsia" w:hAnsiTheme="minorEastAsia" w:hint="eastAsia"/>
          <w:bCs/>
        </w:rPr>
        <w:t>在投资人申购基金时收取申购费用，并不再从本类别基金资产中计提销售服务费的基金份额，称为</w:t>
      </w:r>
      <w:r w:rsidRPr="00487553">
        <w:rPr>
          <w:rFonts w:asciiTheme="minorEastAsia" w:eastAsiaTheme="minorEastAsia" w:hAnsiTheme="minorEastAsia"/>
          <w:bCs/>
        </w:rPr>
        <w:t>A</w:t>
      </w:r>
      <w:r w:rsidRPr="00487553">
        <w:rPr>
          <w:rFonts w:asciiTheme="minorEastAsia" w:eastAsiaTheme="minorEastAsia" w:hAnsiTheme="minorEastAsia" w:hint="eastAsia"/>
          <w:bCs/>
        </w:rPr>
        <w:t>类基金份额；从本类基金资产中计提销售服务费，并不收取申购费用的基金份额，称</w:t>
      </w:r>
      <w:r w:rsidRPr="00487553">
        <w:rPr>
          <w:rFonts w:asciiTheme="minorEastAsia" w:eastAsiaTheme="minorEastAsia" w:hAnsiTheme="minorEastAsia"/>
          <w:bCs/>
        </w:rPr>
        <w:t>C</w:t>
      </w:r>
      <w:r w:rsidRPr="00487553">
        <w:rPr>
          <w:rFonts w:asciiTheme="minorEastAsia" w:eastAsiaTheme="minorEastAsia" w:hAnsiTheme="minorEastAsia" w:hint="eastAsia"/>
          <w:bCs/>
        </w:rPr>
        <w:t>类基金份额。</w:t>
      </w:r>
      <w:r w:rsidRPr="00487553">
        <w:rPr>
          <w:rFonts w:asciiTheme="minorEastAsia" w:eastAsiaTheme="minorEastAsia" w:hAnsiTheme="minorEastAsia"/>
          <w:bCs/>
        </w:rPr>
        <w:t>A</w:t>
      </w:r>
      <w:r w:rsidRPr="00487553">
        <w:rPr>
          <w:rFonts w:asciiTheme="minorEastAsia" w:eastAsiaTheme="minorEastAsia" w:hAnsiTheme="minorEastAsia" w:hint="eastAsia"/>
          <w:bCs/>
        </w:rPr>
        <w:t>类基金份额包括</w:t>
      </w:r>
      <w:r w:rsidRPr="00487553">
        <w:rPr>
          <w:rFonts w:asciiTheme="minorEastAsia" w:eastAsiaTheme="minorEastAsia" w:hAnsiTheme="minorEastAsia"/>
          <w:bCs/>
        </w:rPr>
        <w:t>A类人民币基金份额、A类</w:t>
      </w:r>
      <w:r w:rsidRPr="00487553">
        <w:rPr>
          <w:rFonts w:asciiTheme="minorEastAsia" w:eastAsiaTheme="minorEastAsia" w:hAnsiTheme="minorEastAsia" w:hint="eastAsia"/>
          <w:bCs/>
        </w:rPr>
        <w:t>美元现钞基金份额和</w:t>
      </w:r>
      <w:r w:rsidRPr="00487553">
        <w:rPr>
          <w:rFonts w:asciiTheme="minorEastAsia" w:eastAsiaTheme="minorEastAsia" w:hAnsiTheme="minorEastAsia"/>
          <w:bCs/>
        </w:rPr>
        <w:t>A类</w:t>
      </w:r>
      <w:r w:rsidRPr="00487553">
        <w:rPr>
          <w:rFonts w:asciiTheme="minorEastAsia" w:eastAsiaTheme="minorEastAsia" w:hAnsiTheme="minorEastAsia" w:hint="eastAsia"/>
          <w:bCs/>
        </w:rPr>
        <w:t>美元现汇基金份额。</w:t>
      </w:r>
      <w:r w:rsidRPr="00487553">
        <w:rPr>
          <w:rFonts w:asciiTheme="minorEastAsia" w:eastAsiaTheme="minorEastAsia" w:hAnsiTheme="minorEastAsia"/>
          <w:bCs/>
        </w:rPr>
        <w:t>C</w:t>
      </w:r>
      <w:r w:rsidRPr="00487553">
        <w:rPr>
          <w:rFonts w:asciiTheme="minorEastAsia" w:eastAsiaTheme="minorEastAsia" w:hAnsiTheme="minorEastAsia" w:hint="eastAsia"/>
          <w:bCs/>
        </w:rPr>
        <w:t>类基金份额为人民币基金份额。</w:t>
      </w:r>
      <w:r w:rsidRPr="00487553">
        <w:rPr>
          <w:rFonts w:asciiTheme="minorEastAsia" w:eastAsiaTheme="minorEastAsia" w:hAnsiTheme="minorEastAsia"/>
          <w:bCs/>
        </w:rPr>
        <w:t>各类基金份额</w:t>
      </w:r>
      <w:r w:rsidRPr="00487553">
        <w:rPr>
          <w:rFonts w:asciiTheme="minorEastAsia" w:eastAsiaTheme="minorEastAsia" w:hAnsiTheme="minorEastAsia" w:hint="eastAsia"/>
          <w:bCs/>
        </w:rPr>
        <w:t>分别设置代码</w:t>
      </w:r>
      <w:r w:rsidR="00304379" w:rsidRPr="00487553">
        <w:rPr>
          <w:rFonts w:asciiTheme="minorEastAsia" w:eastAsiaTheme="minorEastAsia" w:hAnsiTheme="minorEastAsia" w:hint="eastAsia"/>
          <w:bCs/>
        </w:rPr>
        <w:t>。</w:t>
      </w:r>
      <w:r w:rsidR="00304379" w:rsidRPr="00487553">
        <w:rPr>
          <w:rFonts w:asciiTheme="minorEastAsia" w:eastAsiaTheme="minorEastAsia" w:hAnsiTheme="minorEastAsia"/>
          <w:bCs/>
        </w:rPr>
        <w:t>投资</w:t>
      </w:r>
      <w:r w:rsidR="00304379" w:rsidRPr="00487553">
        <w:rPr>
          <w:rFonts w:asciiTheme="minorEastAsia" w:eastAsiaTheme="minorEastAsia" w:hAnsiTheme="minorEastAsia" w:hint="eastAsia"/>
          <w:bCs/>
        </w:rPr>
        <w:t>者</w:t>
      </w:r>
      <w:r w:rsidR="00304379" w:rsidRPr="00487553">
        <w:rPr>
          <w:rFonts w:asciiTheme="minorEastAsia" w:eastAsiaTheme="minorEastAsia" w:hAnsiTheme="minorEastAsia"/>
          <w:bCs/>
        </w:rPr>
        <w:t>在认购、申购基金份额时可自行选择基金份额类别</w:t>
      </w:r>
      <w:r w:rsidR="00304379" w:rsidRPr="00487553">
        <w:rPr>
          <w:rFonts w:asciiTheme="minorEastAsia" w:eastAsiaTheme="minorEastAsia" w:hAnsiTheme="minorEastAsia" w:hint="eastAsia"/>
          <w:bCs/>
        </w:rPr>
        <w:t>，并交付对应币种的款项，赎回</w:t>
      </w:r>
      <w:r w:rsidR="004B030C" w:rsidRPr="00487553">
        <w:rPr>
          <w:rFonts w:asciiTheme="minorEastAsia" w:eastAsiaTheme="minorEastAsia" w:hAnsiTheme="minorEastAsia" w:hint="eastAsia"/>
          <w:bCs/>
        </w:rPr>
        <w:t>基金份额</w:t>
      </w:r>
      <w:r w:rsidR="00304379" w:rsidRPr="00487553">
        <w:rPr>
          <w:rFonts w:asciiTheme="minorEastAsia" w:eastAsiaTheme="minorEastAsia" w:hAnsiTheme="minorEastAsia" w:hint="eastAsia"/>
          <w:bCs/>
        </w:rPr>
        <w:t>时收到对应币种的款项</w:t>
      </w:r>
      <w:r w:rsidR="00304379" w:rsidRPr="00487553">
        <w:rPr>
          <w:rFonts w:asciiTheme="minorEastAsia" w:eastAsiaTheme="minorEastAsia" w:hAnsiTheme="minorEastAsia"/>
          <w:bCs/>
        </w:rPr>
        <w:t>。</w:t>
      </w:r>
    </w:p>
    <w:p w14:paraId="232CDD6E" w14:textId="77777777" w:rsidR="004008C7" w:rsidRPr="00487553" w:rsidRDefault="00304379" w:rsidP="00D94E68">
      <w:pPr>
        <w:pStyle w:val="af"/>
        <w:autoSpaceDE w:val="0"/>
        <w:autoSpaceDN w:val="0"/>
        <w:adjustRightInd w:val="0"/>
        <w:snapToGrid w:val="0"/>
        <w:spacing w:line="360" w:lineRule="auto"/>
        <w:ind w:firstLineChars="200"/>
        <w:rPr>
          <w:rFonts w:asciiTheme="minorEastAsia" w:eastAsiaTheme="minorEastAsia" w:hAnsiTheme="minorEastAsia"/>
          <w:bCs/>
        </w:rPr>
      </w:pPr>
      <w:r w:rsidRPr="00487553">
        <w:rPr>
          <w:rFonts w:asciiTheme="minorEastAsia" w:eastAsiaTheme="minorEastAsia" w:hAnsiTheme="minorEastAsia" w:hint="eastAsia"/>
          <w:bCs/>
        </w:rPr>
        <w:t>除非基金管理人在未来条件成熟后另行公告开通相关业务，</w:t>
      </w:r>
      <w:r w:rsidRPr="00487553">
        <w:rPr>
          <w:rFonts w:asciiTheme="minorEastAsia" w:eastAsiaTheme="minorEastAsia" w:hAnsiTheme="minorEastAsia"/>
          <w:bCs/>
        </w:rPr>
        <w:t>本基金不同基金份额类别之间不得互相转换</w:t>
      </w:r>
      <w:r w:rsidRPr="00487553">
        <w:rPr>
          <w:rFonts w:asciiTheme="minorEastAsia" w:eastAsiaTheme="minorEastAsia" w:hAnsiTheme="minorEastAsia" w:hint="eastAsia"/>
          <w:bCs/>
        </w:rPr>
        <w:t>。如外汇局规定发生变化或在未来市场和技术成熟时，本基金可增减外币基金份额</w:t>
      </w:r>
      <w:r w:rsidR="00884E93" w:rsidRPr="00487553">
        <w:rPr>
          <w:rFonts w:asciiTheme="minorEastAsia" w:eastAsiaTheme="minorEastAsia" w:hAnsiTheme="minorEastAsia" w:hint="eastAsia"/>
          <w:bCs/>
        </w:rPr>
        <w:t>类别</w:t>
      </w:r>
      <w:r w:rsidRPr="00487553">
        <w:rPr>
          <w:rFonts w:asciiTheme="minorEastAsia" w:eastAsiaTheme="minorEastAsia" w:hAnsiTheme="minorEastAsia" w:hint="eastAsia"/>
          <w:bCs/>
        </w:rPr>
        <w:t>，外币基金份额通过指定的销售机构接受投资者申购与赎回，该事项无须基金份额持有人大会通过；如本基金增减外币基金份额</w:t>
      </w:r>
      <w:r w:rsidR="00884E93" w:rsidRPr="00487553">
        <w:rPr>
          <w:rFonts w:asciiTheme="minorEastAsia" w:eastAsiaTheme="minorEastAsia" w:hAnsiTheme="minorEastAsia" w:hint="eastAsia"/>
          <w:bCs/>
        </w:rPr>
        <w:t>类别</w:t>
      </w:r>
      <w:r w:rsidRPr="00487553">
        <w:rPr>
          <w:rFonts w:asciiTheme="minorEastAsia" w:eastAsiaTheme="minorEastAsia" w:hAnsiTheme="minorEastAsia" w:hint="eastAsia"/>
          <w:bCs/>
        </w:rPr>
        <w:t>，更新的申赎的原则、程序、费用等业务规则届时由基金管理人确定并提前公告。</w:t>
      </w:r>
    </w:p>
    <w:p w14:paraId="0B3799A2" w14:textId="77777777" w:rsidR="00B0324F" w:rsidRPr="00487553" w:rsidRDefault="00B0324F" w:rsidP="00D94E68">
      <w:pPr>
        <w:pStyle w:val="af0"/>
        <w:snapToGrid w:val="0"/>
        <w:spacing w:line="360" w:lineRule="auto"/>
        <w:rPr>
          <w:rFonts w:asciiTheme="minorEastAsia" w:eastAsiaTheme="minorEastAsia" w:hAnsiTheme="minorEastAsia"/>
        </w:rPr>
        <w:sectPr w:rsidR="00B0324F" w:rsidRPr="00487553" w:rsidSect="00294707">
          <w:pgSz w:w="11906" w:h="16838" w:code="9"/>
          <w:pgMar w:top="1440" w:right="1797" w:bottom="1440" w:left="1797" w:header="851" w:footer="992" w:gutter="0"/>
          <w:cols w:space="425"/>
          <w:docGrid w:type="linesAndChars" w:linePitch="312"/>
        </w:sectPr>
      </w:pPr>
    </w:p>
    <w:p w14:paraId="6F0D9911" w14:textId="77777777" w:rsidR="0064594E" w:rsidRPr="00487553" w:rsidRDefault="0064594E" w:rsidP="00D94E68">
      <w:pPr>
        <w:pStyle w:val="11"/>
        <w:pageBreakBefore w:val="0"/>
        <w:numPr>
          <w:ilvl w:val="0"/>
          <w:numId w:val="14"/>
        </w:numPr>
        <w:snapToGrid w:val="0"/>
        <w:spacing w:beforeLines="0" w:afterLines="0" w:line="360" w:lineRule="auto"/>
        <w:ind w:left="1809" w:firstLineChars="0" w:hanging="1168"/>
        <w:rPr>
          <w:rFonts w:asciiTheme="minorEastAsia" w:eastAsiaTheme="minorEastAsia" w:hAnsiTheme="minorEastAsia"/>
        </w:rPr>
      </w:pPr>
      <w:bookmarkStart w:id="238" w:name="_Toc350861783"/>
      <w:bookmarkStart w:id="239" w:name="_Toc350861987"/>
      <w:bookmarkStart w:id="240" w:name="_Toc350874068"/>
      <w:bookmarkStart w:id="241" w:name="_Toc20148433"/>
      <w:bookmarkEnd w:id="238"/>
      <w:bookmarkEnd w:id="239"/>
      <w:bookmarkEnd w:id="240"/>
      <w:r w:rsidRPr="00487553">
        <w:rPr>
          <w:rFonts w:asciiTheme="minorEastAsia" w:eastAsiaTheme="minorEastAsia" w:hAnsiTheme="minorEastAsia"/>
        </w:rPr>
        <w:lastRenderedPageBreak/>
        <w:t>基金的募集</w:t>
      </w:r>
      <w:bookmarkEnd w:id="237"/>
      <w:bookmarkEnd w:id="241"/>
    </w:p>
    <w:p w14:paraId="77B60A5F" w14:textId="77777777" w:rsidR="0064594E" w:rsidRPr="00487553" w:rsidRDefault="0064594E" w:rsidP="00D94E68">
      <w:pPr>
        <w:snapToGrid w:val="0"/>
        <w:spacing w:line="360" w:lineRule="auto"/>
        <w:ind w:firstLineChars="200" w:firstLine="420"/>
        <w:rPr>
          <w:rFonts w:asciiTheme="minorEastAsia" w:eastAsiaTheme="minorEastAsia" w:hAnsiTheme="minorEastAsia"/>
          <w:szCs w:val="21"/>
        </w:rPr>
      </w:pPr>
      <w:bookmarkStart w:id="242" w:name="_Toc38432433"/>
      <w:r w:rsidRPr="00487553">
        <w:rPr>
          <w:rFonts w:asciiTheme="minorEastAsia" w:eastAsiaTheme="minorEastAsia" w:hAnsiTheme="minorEastAsia"/>
          <w:szCs w:val="21"/>
        </w:rPr>
        <w:t>本基金由基金管理人依照《基金法》、《运作办法》、《销售办法》、基金合同的相关规定</w:t>
      </w:r>
      <w:r w:rsidR="006252E6"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并经中国证监会</w:t>
      </w:r>
      <w:r w:rsidR="008A525A" w:rsidRPr="00487553">
        <w:rPr>
          <w:rFonts w:asciiTheme="minorEastAsia" w:eastAsiaTheme="minorEastAsia" w:hAnsiTheme="minorEastAsia"/>
          <w:szCs w:val="21"/>
        </w:rPr>
        <w:t>《关于核准易方达</w:t>
      </w:r>
      <w:r w:rsidR="0057643B" w:rsidRPr="00487553">
        <w:rPr>
          <w:rFonts w:asciiTheme="minorEastAsia" w:eastAsiaTheme="minorEastAsia" w:hAnsiTheme="minorEastAsia"/>
          <w:szCs w:val="21"/>
        </w:rPr>
        <w:t>恒生中国企业交易型开放式指数证券投资基金</w:t>
      </w:r>
      <w:r w:rsidR="002A2833" w:rsidRPr="00487553">
        <w:rPr>
          <w:rFonts w:asciiTheme="minorEastAsia" w:eastAsiaTheme="minorEastAsia" w:hAnsiTheme="minorEastAsia" w:hint="eastAsia"/>
          <w:szCs w:val="21"/>
        </w:rPr>
        <w:t>及</w:t>
      </w:r>
      <w:r w:rsidR="0057643B" w:rsidRPr="00487553">
        <w:rPr>
          <w:rFonts w:asciiTheme="minorEastAsia" w:eastAsiaTheme="minorEastAsia" w:hAnsiTheme="minorEastAsia"/>
          <w:szCs w:val="21"/>
        </w:rPr>
        <w:t>联接基金</w:t>
      </w:r>
      <w:r w:rsidR="008A525A" w:rsidRPr="00487553">
        <w:rPr>
          <w:rFonts w:asciiTheme="minorEastAsia" w:eastAsiaTheme="minorEastAsia" w:hAnsiTheme="minorEastAsia"/>
          <w:szCs w:val="21"/>
        </w:rPr>
        <w:t>募集的批复》</w:t>
      </w:r>
      <w:r w:rsidRPr="00487553">
        <w:rPr>
          <w:rFonts w:asciiTheme="minorEastAsia" w:eastAsiaTheme="minorEastAsia" w:hAnsiTheme="minorEastAsia"/>
          <w:szCs w:val="21"/>
        </w:rPr>
        <w:t>（</w:t>
      </w:r>
      <w:r w:rsidR="008A525A" w:rsidRPr="00487553">
        <w:rPr>
          <w:rFonts w:asciiTheme="minorEastAsia" w:eastAsiaTheme="minorEastAsia" w:hAnsiTheme="minorEastAsia"/>
          <w:szCs w:val="21"/>
        </w:rPr>
        <w:t>证监许可</w:t>
      </w:r>
      <w:r w:rsidR="006551A9" w:rsidRPr="00487553">
        <w:rPr>
          <w:rFonts w:asciiTheme="minorEastAsia" w:eastAsiaTheme="minorEastAsia" w:hAnsiTheme="minorEastAsia" w:hint="eastAsia"/>
          <w:szCs w:val="21"/>
        </w:rPr>
        <w:t>【</w:t>
      </w:r>
      <w:r w:rsidR="00C90A34" w:rsidRPr="00487553">
        <w:rPr>
          <w:rFonts w:asciiTheme="minorEastAsia" w:eastAsiaTheme="minorEastAsia" w:hAnsiTheme="minorEastAsia"/>
          <w:szCs w:val="21"/>
        </w:rPr>
        <w:t>201</w:t>
      </w:r>
      <w:r w:rsidR="00C90A34" w:rsidRPr="00487553">
        <w:rPr>
          <w:rFonts w:asciiTheme="minorEastAsia" w:eastAsiaTheme="minorEastAsia" w:hAnsiTheme="minorEastAsia" w:hint="eastAsia"/>
          <w:szCs w:val="21"/>
        </w:rPr>
        <w:t>2</w:t>
      </w:r>
      <w:r w:rsidR="006551A9" w:rsidRPr="00487553">
        <w:rPr>
          <w:rFonts w:asciiTheme="minorEastAsia" w:eastAsiaTheme="minorEastAsia" w:hAnsiTheme="minorEastAsia" w:hint="eastAsia"/>
          <w:szCs w:val="21"/>
        </w:rPr>
        <w:t>】</w:t>
      </w:r>
      <w:r w:rsidR="008B41F0" w:rsidRPr="00487553">
        <w:rPr>
          <w:rFonts w:asciiTheme="minorEastAsia" w:eastAsiaTheme="minorEastAsia" w:hAnsiTheme="minorEastAsia" w:hint="eastAsia"/>
          <w:szCs w:val="21"/>
        </w:rPr>
        <w:t>823</w:t>
      </w:r>
      <w:r w:rsidRPr="00487553">
        <w:rPr>
          <w:rFonts w:asciiTheme="minorEastAsia" w:eastAsiaTheme="minorEastAsia" w:hAnsiTheme="minorEastAsia"/>
          <w:szCs w:val="21"/>
        </w:rPr>
        <w:t>号）核准募集。</w:t>
      </w:r>
    </w:p>
    <w:p w14:paraId="1DB8DF9E" w14:textId="77777777" w:rsidR="0064594E" w:rsidRPr="00487553" w:rsidRDefault="00E65775"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本基金为</w:t>
      </w:r>
      <w:r w:rsidR="00450D6E" w:rsidRPr="00487553">
        <w:rPr>
          <w:rFonts w:asciiTheme="minorEastAsia" w:eastAsiaTheme="minorEastAsia" w:hAnsiTheme="minorEastAsia" w:hint="eastAsia"/>
          <w:szCs w:val="21"/>
        </w:rPr>
        <w:t>境外</w:t>
      </w:r>
      <w:r w:rsidR="00D34324" w:rsidRPr="00487553">
        <w:rPr>
          <w:rFonts w:asciiTheme="minorEastAsia" w:eastAsiaTheme="minorEastAsia" w:hAnsiTheme="minorEastAsia" w:hint="eastAsia"/>
          <w:szCs w:val="21"/>
        </w:rPr>
        <w:t>指数</w:t>
      </w:r>
      <w:r w:rsidR="000E513B" w:rsidRPr="00487553">
        <w:rPr>
          <w:rFonts w:asciiTheme="minorEastAsia" w:eastAsiaTheme="minorEastAsia" w:hAnsiTheme="minorEastAsia" w:hint="eastAsia"/>
          <w:szCs w:val="21"/>
        </w:rPr>
        <w:t>基金</w:t>
      </w:r>
      <w:r w:rsidR="00D34324" w:rsidRPr="00487553">
        <w:rPr>
          <w:rFonts w:asciiTheme="minorEastAsia" w:eastAsiaTheme="minorEastAsia" w:hAnsiTheme="minorEastAsia" w:hint="eastAsia"/>
          <w:szCs w:val="21"/>
        </w:rPr>
        <w:t>、联接基金</w:t>
      </w:r>
      <w:r w:rsidRPr="00487553">
        <w:rPr>
          <w:rFonts w:asciiTheme="minorEastAsia" w:eastAsiaTheme="minorEastAsia" w:hAnsiTheme="minorEastAsia"/>
          <w:szCs w:val="21"/>
        </w:rPr>
        <w:t>，基金运作方式为</w:t>
      </w:r>
      <w:r w:rsidR="002319FB" w:rsidRPr="00487553">
        <w:rPr>
          <w:rFonts w:asciiTheme="minorEastAsia" w:eastAsiaTheme="minorEastAsia" w:hAnsiTheme="minorEastAsia"/>
          <w:szCs w:val="21"/>
        </w:rPr>
        <w:t>契约型</w:t>
      </w:r>
      <w:r w:rsidR="00CD31EF" w:rsidRPr="00487553">
        <w:rPr>
          <w:rFonts w:asciiTheme="minorEastAsia" w:eastAsiaTheme="minorEastAsia" w:hAnsiTheme="minorEastAsia"/>
          <w:szCs w:val="21"/>
        </w:rPr>
        <w:t>、</w:t>
      </w:r>
      <w:r w:rsidR="002319FB" w:rsidRPr="00487553">
        <w:rPr>
          <w:rFonts w:asciiTheme="minorEastAsia" w:eastAsiaTheme="minorEastAsia" w:hAnsiTheme="minorEastAsia"/>
          <w:szCs w:val="21"/>
        </w:rPr>
        <w:t>开放式</w:t>
      </w:r>
      <w:r w:rsidR="00B44A0B" w:rsidRPr="00487553">
        <w:rPr>
          <w:rFonts w:asciiTheme="minorEastAsia" w:eastAsiaTheme="minorEastAsia" w:hAnsiTheme="minorEastAsia" w:hint="eastAsia"/>
          <w:szCs w:val="21"/>
        </w:rPr>
        <w:t>。</w:t>
      </w:r>
      <w:r w:rsidR="00B93A36" w:rsidRPr="00487553">
        <w:rPr>
          <w:rFonts w:asciiTheme="minorEastAsia" w:eastAsiaTheme="minorEastAsia" w:hAnsiTheme="minorEastAsia" w:hint="eastAsia"/>
          <w:szCs w:val="21"/>
        </w:rPr>
        <w:t>基金的存续期为</w:t>
      </w:r>
      <w:r w:rsidR="00B93A36" w:rsidRPr="00487553">
        <w:rPr>
          <w:rFonts w:asciiTheme="minorEastAsia" w:eastAsiaTheme="minorEastAsia" w:hAnsiTheme="minorEastAsia"/>
          <w:szCs w:val="21"/>
        </w:rPr>
        <w:t>不定期</w:t>
      </w:r>
      <w:r w:rsidR="00B93A36" w:rsidRPr="00487553">
        <w:rPr>
          <w:rFonts w:asciiTheme="minorEastAsia" w:eastAsiaTheme="minorEastAsia" w:hAnsiTheme="minorEastAsia" w:hint="eastAsia"/>
          <w:szCs w:val="21"/>
        </w:rPr>
        <w:t>。</w:t>
      </w:r>
    </w:p>
    <w:p w14:paraId="586762AD" w14:textId="77777777" w:rsidR="00134460" w:rsidRPr="00487553" w:rsidRDefault="00134460"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本基金</w:t>
      </w:r>
      <w:r w:rsidRPr="00487553">
        <w:rPr>
          <w:rFonts w:asciiTheme="minorEastAsia" w:eastAsiaTheme="minorEastAsia" w:hAnsiTheme="minorEastAsia" w:hint="eastAsia"/>
          <w:szCs w:val="21"/>
        </w:rPr>
        <w:t>人民币基金份额</w:t>
      </w:r>
      <w:r w:rsidRPr="00487553">
        <w:rPr>
          <w:rFonts w:asciiTheme="minorEastAsia" w:eastAsiaTheme="minorEastAsia" w:hAnsiTheme="minorEastAsia"/>
          <w:szCs w:val="21"/>
        </w:rPr>
        <w:t>的</w:t>
      </w:r>
      <w:r w:rsidRPr="00487553">
        <w:rPr>
          <w:rFonts w:asciiTheme="minorEastAsia" w:eastAsiaTheme="minorEastAsia" w:hAnsiTheme="minorEastAsia" w:hint="eastAsia"/>
          <w:szCs w:val="21"/>
        </w:rPr>
        <w:t>初始</w:t>
      </w:r>
      <w:r w:rsidRPr="00487553">
        <w:rPr>
          <w:rFonts w:asciiTheme="minorEastAsia" w:eastAsiaTheme="minorEastAsia" w:hAnsiTheme="minorEastAsia"/>
          <w:szCs w:val="21"/>
        </w:rPr>
        <w:t>面值为每份基金份额人民币1.00元</w:t>
      </w:r>
      <w:r w:rsidRPr="00487553">
        <w:rPr>
          <w:rFonts w:asciiTheme="minorEastAsia" w:eastAsiaTheme="minorEastAsia" w:hAnsiTheme="minorEastAsia" w:hint="eastAsia"/>
          <w:szCs w:val="21"/>
        </w:rPr>
        <w:t>；美元现钞基金份额和美元现汇基金份额的初始面值为人民币基金份额</w:t>
      </w:r>
      <w:r w:rsidRPr="00487553">
        <w:rPr>
          <w:rFonts w:asciiTheme="minorEastAsia" w:eastAsiaTheme="minorEastAsia" w:hAnsiTheme="minorEastAsia"/>
          <w:szCs w:val="21"/>
        </w:rPr>
        <w:t>的</w:t>
      </w:r>
      <w:r w:rsidRPr="00487553">
        <w:rPr>
          <w:rFonts w:asciiTheme="minorEastAsia" w:eastAsiaTheme="minorEastAsia" w:hAnsiTheme="minorEastAsia" w:hint="eastAsia"/>
          <w:szCs w:val="21"/>
        </w:rPr>
        <w:t>初始</w:t>
      </w:r>
      <w:r w:rsidRPr="00487553">
        <w:rPr>
          <w:rFonts w:asciiTheme="minorEastAsia" w:eastAsiaTheme="minorEastAsia" w:hAnsiTheme="minorEastAsia"/>
          <w:szCs w:val="21"/>
        </w:rPr>
        <w:t>面值</w:t>
      </w:r>
      <w:r w:rsidRPr="00487553">
        <w:rPr>
          <w:rFonts w:asciiTheme="minorEastAsia" w:eastAsiaTheme="minorEastAsia" w:hAnsiTheme="minorEastAsia" w:hint="eastAsia"/>
          <w:szCs w:val="21"/>
        </w:rPr>
        <w:t>按照募集期最后一日美元估值汇率进行折算，以美元为单位，</w:t>
      </w:r>
      <w:r w:rsidRPr="00487553">
        <w:rPr>
          <w:rFonts w:asciiTheme="minorEastAsia" w:eastAsiaTheme="minorEastAsia" w:hAnsiTheme="minorEastAsia"/>
          <w:szCs w:val="21"/>
        </w:rPr>
        <w:t>四舍五入</w:t>
      </w:r>
      <w:r w:rsidRPr="00487553">
        <w:rPr>
          <w:rFonts w:asciiTheme="minorEastAsia" w:eastAsiaTheme="minorEastAsia" w:hAnsiTheme="minorEastAsia" w:hint="eastAsia"/>
          <w:szCs w:val="21"/>
        </w:rPr>
        <w:t>保留小数点后8位</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三类份额按各自初始面值发售。</w:t>
      </w:r>
    </w:p>
    <w:p w14:paraId="11415C1F" w14:textId="77777777" w:rsidR="0064594E" w:rsidRPr="00487553" w:rsidRDefault="00134460" w:rsidP="00D94E68">
      <w:pPr>
        <w:snapToGrid w:val="0"/>
        <w:spacing w:line="360" w:lineRule="auto"/>
        <w:ind w:firstLineChars="200" w:firstLine="420"/>
        <w:rPr>
          <w:rFonts w:asciiTheme="minorEastAsia" w:eastAsiaTheme="minorEastAsia" w:hAnsiTheme="minorEastAsia"/>
          <w:kern w:val="0"/>
          <w:szCs w:val="21"/>
        </w:rPr>
      </w:pPr>
      <w:bookmarkStart w:id="243" w:name="_Toc296440129"/>
      <w:bookmarkStart w:id="244" w:name="_Toc296526966"/>
      <w:bookmarkStart w:id="245" w:name="_Toc296440130"/>
      <w:bookmarkStart w:id="246" w:name="_Toc296526967"/>
      <w:bookmarkStart w:id="247" w:name="OLE_LINK1"/>
      <w:bookmarkEnd w:id="242"/>
      <w:bookmarkEnd w:id="243"/>
      <w:bookmarkEnd w:id="244"/>
      <w:bookmarkEnd w:id="245"/>
      <w:bookmarkEnd w:id="246"/>
      <w:r w:rsidRPr="00487553">
        <w:rPr>
          <w:rFonts w:asciiTheme="minorEastAsia" w:eastAsiaTheme="minorEastAsia" w:hAnsiTheme="minorEastAsia" w:hint="eastAsia"/>
          <w:szCs w:val="21"/>
        </w:rPr>
        <w:t>本基金募集期自2012年7月18日至2012年8月17日。</w:t>
      </w:r>
      <w:r w:rsidR="003C355D" w:rsidRPr="00487553">
        <w:rPr>
          <w:rFonts w:asciiTheme="minorEastAsia" w:eastAsiaTheme="minorEastAsia" w:hAnsiTheme="minorEastAsia" w:hint="eastAsia"/>
          <w:kern w:val="0"/>
          <w:szCs w:val="21"/>
        </w:rPr>
        <w:t>本基金的发售对象为</w:t>
      </w:r>
      <w:r w:rsidR="00A73E53" w:rsidRPr="00487553">
        <w:rPr>
          <w:rFonts w:asciiTheme="minorEastAsia" w:eastAsiaTheme="minorEastAsia" w:hAnsiTheme="minorEastAsia" w:hint="eastAsia"/>
          <w:kern w:val="0"/>
          <w:szCs w:val="21"/>
        </w:rPr>
        <w:t>符合法律法规规定的</w:t>
      </w:r>
      <w:r w:rsidR="003C355D" w:rsidRPr="00487553">
        <w:rPr>
          <w:rFonts w:asciiTheme="minorEastAsia" w:eastAsiaTheme="minorEastAsia" w:hAnsiTheme="minorEastAsia" w:hint="eastAsia"/>
          <w:kern w:val="0"/>
          <w:szCs w:val="21"/>
        </w:rPr>
        <w:t>个人投资者、机构投资者、合格境外机构投资者和法律法规或中国证监会允许购买证券投资基金的其他投资者。</w:t>
      </w:r>
    </w:p>
    <w:p w14:paraId="1377B980" w14:textId="77777777" w:rsidR="00134460" w:rsidRPr="00487553" w:rsidRDefault="00134460" w:rsidP="00D94E68">
      <w:pPr>
        <w:snapToGrid w:val="0"/>
        <w:spacing w:line="360" w:lineRule="auto"/>
        <w:ind w:firstLineChars="200" w:firstLine="420"/>
        <w:rPr>
          <w:rFonts w:asciiTheme="minorEastAsia" w:eastAsiaTheme="minorEastAsia" w:hAnsiTheme="minorEastAsia"/>
          <w:kern w:val="0"/>
          <w:szCs w:val="21"/>
        </w:rPr>
      </w:pPr>
    </w:p>
    <w:p w14:paraId="73142BBA" w14:textId="77777777" w:rsidR="00EA1F2A" w:rsidRPr="00487553" w:rsidRDefault="0064594E" w:rsidP="00D94E68">
      <w:pPr>
        <w:pStyle w:val="11"/>
        <w:numPr>
          <w:ilvl w:val="0"/>
          <w:numId w:val="14"/>
        </w:numPr>
        <w:snapToGrid w:val="0"/>
        <w:spacing w:beforeLines="0" w:afterLines="0" w:line="360" w:lineRule="auto"/>
        <w:ind w:left="1809" w:firstLineChars="0" w:hanging="1168"/>
        <w:rPr>
          <w:rFonts w:asciiTheme="minorEastAsia" w:eastAsiaTheme="minorEastAsia" w:hAnsiTheme="minorEastAsia"/>
        </w:rPr>
      </w:pPr>
      <w:bookmarkStart w:id="248" w:name="_Toc350861785"/>
      <w:bookmarkStart w:id="249" w:name="_Toc350861989"/>
      <w:bookmarkStart w:id="250" w:name="_Toc350874070"/>
      <w:bookmarkStart w:id="251" w:name="_Toc350861786"/>
      <w:bookmarkStart w:id="252" w:name="_Toc350861990"/>
      <w:bookmarkStart w:id="253" w:name="_Toc350874071"/>
      <w:bookmarkStart w:id="254" w:name="_Toc350861787"/>
      <w:bookmarkStart w:id="255" w:name="_Toc350861991"/>
      <w:bookmarkStart w:id="256" w:name="_Toc350874072"/>
      <w:bookmarkStart w:id="257" w:name="_Toc350861788"/>
      <w:bookmarkStart w:id="258" w:name="_Toc350861992"/>
      <w:bookmarkStart w:id="259" w:name="_Toc350874073"/>
      <w:bookmarkStart w:id="260" w:name="_Toc350861789"/>
      <w:bookmarkStart w:id="261" w:name="_Toc350861993"/>
      <w:bookmarkStart w:id="262" w:name="_Toc350874074"/>
      <w:bookmarkStart w:id="263" w:name="_Toc350861790"/>
      <w:bookmarkStart w:id="264" w:name="_Toc350861994"/>
      <w:bookmarkStart w:id="265" w:name="_Toc350874075"/>
      <w:bookmarkStart w:id="266" w:name="_Toc350861791"/>
      <w:bookmarkStart w:id="267" w:name="_Toc350861995"/>
      <w:bookmarkStart w:id="268" w:name="_Toc350874076"/>
      <w:bookmarkStart w:id="269" w:name="_Toc350861792"/>
      <w:bookmarkStart w:id="270" w:name="_Toc350861996"/>
      <w:bookmarkStart w:id="271" w:name="_Toc350874077"/>
      <w:bookmarkStart w:id="272" w:name="_Toc350861793"/>
      <w:bookmarkStart w:id="273" w:name="_Toc350861997"/>
      <w:bookmarkStart w:id="274" w:name="_Toc350874078"/>
      <w:bookmarkStart w:id="275" w:name="_Toc350861794"/>
      <w:bookmarkStart w:id="276" w:name="_Toc350861998"/>
      <w:bookmarkStart w:id="277" w:name="_Toc350874079"/>
      <w:bookmarkStart w:id="278" w:name="_Toc350861795"/>
      <w:bookmarkStart w:id="279" w:name="_Toc350861999"/>
      <w:bookmarkStart w:id="280" w:name="_Toc350874080"/>
      <w:bookmarkStart w:id="281" w:name="_Toc350861796"/>
      <w:bookmarkStart w:id="282" w:name="_Toc350862000"/>
      <w:bookmarkStart w:id="283" w:name="_Toc350874081"/>
      <w:bookmarkStart w:id="284" w:name="_Toc350861797"/>
      <w:bookmarkStart w:id="285" w:name="_Toc350862001"/>
      <w:bookmarkStart w:id="286" w:name="_Toc350874082"/>
      <w:bookmarkStart w:id="287" w:name="_Toc350861798"/>
      <w:bookmarkStart w:id="288" w:name="_Toc350862002"/>
      <w:bookmarkStart w:id="289" w:name="_Toc350874083"/>
      <w:bookmarkStart w:id="290" w:name="_Toc350861799"/>
      <w:bookmarkStart w:id="291" w:name="_Toc350862003"/>
      <w:bookmarkStart w:id="292" w:name="_Toc350874084"/>
      <w:bookmarkStart w:id="293" w:name="_Toc350861800"/>
      <w:bookmarkStart w:id="294" w:name="_Toc350862004"/>
      <w:bookmarkStart w:id="295" w:name="_Toc350874085"/>
      <w:bookmarkStart w:id="296" w:name="_Toc350861801"/>
      <w:bookmarkStart w:id="297" w:name="_Toc350862005"/>
      <w:bookmarkStart w:id="298" w:name="_Toc350874086"/>
      <w:bookmarkStart w:id="299" w:name="_Toc350861802"/>
      <w:bookmarkStart w:id="300" w:name="_Toc350862006"/>
      <w:bookmarkStart w:id="301" w:name="_Toc350874087"/>
      <w:bookmarkStart w:id="302" w:name="_Toc350861803"/>
      <w:bookmarkStart w:id="303" w:name="_Toc350862007"/>
      <w:bookmarkStart w:id="304" w:name="_Toc350874088"/>
      <w:bookmarkStart w:id="305" w:name="_Toc350861804"/>
      <w:bookmarkStart w:id="306" w:name="_Toc350862008"/>
      <w:bookmarkStart w:id="307" w:name="_Toc350874089"/>
      <w:bookmarkStart w:id="308" w:name="_Toc350861805"/>
      <w:bookmarkStart w:id="309" w:name="_Toc350862009"/>
      <w:bookmarkStart w:id="310" w:name="_Toc350874090"/>
      <w:bookmarkStart w:id="311" w:name="_Toc350861806"/>
      <w:bookmarkStart w:id="312" w:name="_Toc350862010"/>
      <w:bookmarkStart w:id="313" w:name="_Toc350874091"/>
      <w:bookmarkStart w:id="314" w:name="_Toc350861822"/>
      <w:bookmarkStart w:id="315" w:name="_Toc350862026"/>
      <w:bookmarkStart w:id="316" w:name="_Toc350874107"/>
      <w:bookmarkStart w:id="317" w:name="_Toc350861838"/>
      <w:bookmarkStart w:id="318" w:name="_Toc350862042"/>
      <w:bookmarkStart w:id="319" w:name="_Toc350874123"/>
      <w:bookmarkStart w:id="320" w:name="_Toc350861839"/>
      <w:bookmarkStart w:id="321" w:name="_Toc350862043"/>
      <w:bookmarkStart w:id="322" w:name="_Toc350874124"/>
      <w:bookmarkStart w:id="323" w:name="_Toc350861840"/>
      <w:bookmarkStart w:id="324" w:name="_Toc350862044"/>
      <w:bookmarkStart w:id="325" w:name="_Toc350874125"/>
      <w:bookmarkStart w:id="326" w:name="_Toc350861841"/>
      <w:bookmarkStart w:id="327" w:name="_Toc350862045"/>
      <w:bookmarkStart w:id="328" w:name="_Toc350874126"/>
      <w:bookmarkStart w:id="329" w:name="_Toc350861842"/>
      <w:bookmarkStart w:id="330" w:name="_Toc350862046"/>
      <w:bookmarkStart w:id="331" w:name="_Toc350874127"/>
      <w:bookmarkStart w:id="332" w:name="_Toc350861843"/>
      <w:bookmarkStart w:id="333" w:name="_Toc350862047"/>
      <w:bookmarkStart w:id="334" w:name="_Toc350874128"/>
      <w:bookmarkStart w:id="335" w:name="_Toc350861844"/>
      <w:bookmarkStart w:id="336" w:name="_Toc350862048"/>
      <w:bookmarkStart w:id="337" w:name="_Toc350874129"/>
      <w:bookmarkStart w:id="338" w:name="_Toc350861845"/>
      <w:bookmarkStart w:id="339" w:name="_Toc350862049"/>
      <w:bookmarkStart w:id="340" w:name="_Toc350874130"/>
      <w:bookmarkStart w:id="341" w:name="_Toc350861846"/>
      <w:bookmarkStart w:id="342" w:name="_Toc350862050"/>
      <w:bookmarkStart w:id="343" w:name="_Toc350874131"/>
      <w:bookmarkStart w:id="344" w:name="_Toc350861847"/>
      <w:bookmarkStart w:id="345" w:name="_Toc350862051"/>
      <w:bookmarkStart w:id="346" w:name="_Toc350874132"/>
      <w:bookmarkStart w:id="347" w:name="_Toc350861848"/>
      <w:bookmarkStart w:id="348" w:name="_Toc350862052"/>
      <w:bookmarkStart w:id="349" w:name="_Toc350874133"/>
      <w:bookmarkStart w:id="350" w:name="_Toc350861849"/>
      <w:bookmarkStart w:id="351" w:name="_Toc350862053"/>
      <w:bookmarkStart w:id="352" w:name="_Toc350874134"/>
      <w:bookmarkStart w:id="353" w:name="_Toc350861850"/>
      <w:bookmarkStart w:id="354" w:name="_Toc350862054"/>
      <w:bookmarkStart w:id="355" w:name="_Toc350874135"/>
      <w:bookmarkStart w:id="356" w:name="_Toc350861851"/>
      <w:bookmarkStart w:id="357" w:name="_Toc350862055"/>
      <w:bookmarkStart w:id="358" w:name="_Toc350874136"/>
      <w:bookmarkStart w:id="359" w:name="_Toc350861852"/>
      <w:bookmarkStart w:id="360" w:name="_Toc350862056"/>
      <w:bookmarkStart w:id="361" w:name="_Toc350874137"/>
      <w:bookmarkStart w:id="362" w:name="_Toc350861853"/>
      <w:bookmarkStart w:id="363" w:name="_Toc350862057"/>
      <w:bookmarkStart w:id="364" w:name="_Toc350874138"/>
      <w:bookmarkStart w:id="365" w:name="_Toc350861854"/>
      <w:bookmarkStart w:id="366" w:name="_Toc350862058"/>
      <w:bookmarkStart w:id="367" w:name="_Toc350874139"/>
      <w:bookmarkStart w:id="368" w:name="_Toc350861855"/>
      <w:bookmarkStart w:id="369" w:name="_Toc350862059"/>
      <w:bookmarkStart w:id="370" w:name="_Toc350874140"/>
      <w:bookmarkStart w:id="371" w:name="_Toc350861856"/>
      <w:bookmarkStart w:id="372" w:name="_Toc350862060"/>
      <w:bookmarkStart w:id="373" w:name="_Toc350874141"/>
      <w:bookmarkStart w:id="374" w:name="_Toc350861857"/>
      <w:bookmarkStart w:id="375" w:name="_Toc350862061"/>
      <w:bookmarkStart w:id="376" w:name="_Toc350874142"/>
      <w:bookmarkStart w:id="377" w:name="_Toc350861858"/>
      <w:bookmarkStart w:id="378" w:name="_Toc350862062"/>
      <w:bookmarkStart w:id="379" w:name="_Toc350874143"/>
      <w:bookmarkStart w:id="380" w:name="_Toc350861859"/>
      <w:bookmarkStart w:id="381" w:name="_Toc350862063"/>
      <w:bookmarkStart w:id="382" w:name="_Toc350874144"/>
      <w:bookmarkStart w:id="383" w:name="_Toc350861860"/>
      <w:bookmarkStart w:id="384" w:name="_Toc350862064"/>
      <w:bookmarkStart w:id="385" w:name="_Toc350874145"/>
      <w:bookmarkStart w:id="386" w:name="_Toc350861861"/>
      <w:bookmarkStart w:id="387" w:name="_Toc350862065"/>
      <w:bookmarkStart w:id="388" w:name="_Toc350874146"/>
      <w:bookmarkStart w:id="389" w:name="_Toc296526974"/>
      <w:bookmarkStart w:id="390" w:name="_Toc2014843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487553">
        <w:rPr>
          <w:rFonts w:asciiTheme="minorEastAsia" w:eastAsiaTheme="minorEastAsia" w:hAnsiTheme="minorEastAsia"/>
        </w:rPr>
        <w:lastRenderedPageBreak/>
        <w:t>基金</w:t>
      </w:r>
      <w:r w:rsidR="00134460" w:rsidRPr="00487553">
        <w:rPr>
          <w:rFonts w:asciiTheme="minorEastAsia" w:eastAsiaTheme="minorEastAsia" w:hAnsiTheme="minorEastAsia" w:hint="eastAsia"/>
        </w:rPr>
        <w:t>合同的生效</w:t>
      </w:r>
      <w:bookmarkEnd w:id="390"/>
    </w:p>
    <w:p w14:paraId="67DE82AB" w14:textId="77777777" w:rsidR="00BA6F0E" w:rsidRPr="00487553" w:rsidRDefault="00BA6F0E" w:rsidP="001016DC">
      <w:pPr>
        <w:pStyle w:val="2"/>
        <w:numPr>
          <w:ilvl w:val="0"/>
          <w:numId w:val="43"/>
        </w:numPr>
        <w:snapToGrid w:val="0"/>
        <w:spacing w:beforeLines="0" w:afterLines="0" w:line="360" w:lineRule="auto"/>
        <w:ind w:firstLineChars="0"/>
        <w:rPr>
          <w:rFonts w:asciiTheme="minorEastAsia" w:eastAsiaTheme="minorEastAsia" w:hAnsiTheme="minorEastAsia"/>
          <w:bCs/>
        </w:rPr>
      </w:pPr>
      <w:bookmarkStart w:id="391" w:name="_Toc350861863"/>
      <w:bookmarkStart w:id="392" w:name="_Toc350862067"/>
      <w:bookmarkStart w:id="393" w:name="_Toc350874148"/>
      <w:bookmarkStart w:id="394" w:name="_Toc350861864"/>
      <w:bookmarkStart w:id="395" w:name="_Toc350862068"/>
      <w:bookmarkStart w:id="396" w:name="_Toc350874149"/>
      <w:bookmarkStart w:id="397" w:name="_Toc350861865"/>
      <w:bookmarkStart w:id="398" w:name="_Toc350862069"/>
      <w:bookmarkStart w:id="399" w:name="_Toc350874150"/>
      <w:bookmarkStart w:id="400" w:name="_Toc350861866"/>
      <w:bookmarkStart w:id="401" w:name="_Toc350862070"/>
      <w:bookmarkStart w:id="402" w:name="_Toc350874151"/>
      <w:bookmarkStart w:id="403" w:name="_Toc350861867"/>
      <w:bookmarkStart w:id="404" w:name="_Toc350862071"/>
      <w:bookmarkStart w:id="405" w:name="_Toc350874152"/>
      <w:bookmarkStart w:id="406" w:name="_Toc350861868"/>
      <w:bookmarkStart w:id="407" w:name="_Toc350862072"/>
      <w:bookmarkStart w:id="408" w:name="_Toc350874153"/>
      <w:bookmarkStart w:id="409" w:name="_Toc350861869"/>
      <w:bookmarkStart w:id="410" w:name="_Toc350862073"/>
      <w:bookmarkStart w:id="411" w:name="_Toc350874154"/>
      <w:bookmarkStart w:id="412" w:name="_Toc20148435"/>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487553">
        <w:rPr>
          <w:rFonts w:asciiTheme="minorEastAsia" w:eastAsiaTheme="minorEastAsia" w:hAnsiTheme="minorEastAsia" w:hint="eastAsia"/>
          <w:bCs/>
        </w:rPr>
        <w:t>基金合同的生效</w:t>
      </w:r>
      <w:bookmarkEnd w:id="412"/>
    </w:p>
    <w:p w14:paraId="5E47BCF3" w14:textId="77777777" w:rsidR="00BA6F0E" w:rsidRPr="00487553" w:rsidRDefault="00134460"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本基金</w:t>
      </w:r>
      <w:r w:rsidRPr="00487553">
        <w:rPr>
          <w:rFonts w:asciiTheme="minorEastAsia" w:eastAsiaTheme="minorEastAsia" w:hAnsiTheme="minorEastAsia" w:hint="eastAsia"/>
          <w:szCs w:val="21"/>
        </w:rPr>
        <w:t>基金合同于2012年8月21日正式生效。自基金合同生效日起，本基金管理人正式开始管理本基金。</w:t>
      </w:r>
    </w:p>
    <w:p w14:paraId="0128A686" w14:textId="77777777" w:rsidR="00BA6F0E" w:rsidRPr="00487553" w:rsidRDefault="00BA6F0E" w:rsidP="001016DC">
      <w:pPr>
        <w:pStyle w:val="2"/>
        <w:numPr>
          <w:ilvl w:val="0"/>
          <w:numId w:val="43"/>
        </w:numPr>
        <w:snapToGrid w:val="0"/>
        <w:spacing w:beforeLines="0" w:afterLines="0" w:line="360" w:lineRule="auto"/>
        <w:ind w:firstLineChars="0"/>
        <w:rPr>
          <w:rFonts w:asciiTheme="minorEastAsia" w:eastAsiaTheme="minorEastAsia" w:hAnsiTheme="minorEastAsia"/>
          <w:bCs/>
        </w:rPr>
      </w:pPr>
      <w:bookmarkStart w:id="413" w:name="_Toc350861871"/>
      <w:bookmarkStart w:id="414" w:name="_Toc350862075"/>
      <w:bookmarkStart w:id="415" w:name="_Toc350874156"/>
      <w:bookmarkStart w:id="416" w:name="_Toc350861872"/>
      <w:bookmarkStart w:id="417" w:name="_Toc350862076"/>
      <w:bookmarkStart w:id="418" w:name="_Toc350874157"/>
      <w:bookmarkStart w:id="419" w:name="_Toc350861873"/>
      <w:bookmarkStart w:id="420" w:name="_Toc350862077"/>
      <w:bookmarkStart w:id="421" w:name="_Toc350874158"/>
      <w:bookmarkStart w:id="422" w:name="_Toc350861874"/>
      <w:bookmarkStart w:id="423" w:name="_Toc350862078"/>
      <w:bookmarkStart w:id="424" w:name="_Toc350874159"/>
      <w:bookmarkStart w:id="425" w:name="_Toc20148436"/>
      <w:bookmarkEnd w:id="413"/>
      <w:bookmarkEnd w:id="414"/>
      <w:bookmarkEnd w:id="415"/>
      <w:bookmarkEnd w:id="416"/>
      <w:bookmarkEnd w:id="417"/>
      <w:bookmarkEnd w:id="418"/>
      <w:bookmarkEnd w:id="419"/>
      <w:bookmarkEnd w:id="420"/>
      <w:bookmarkEnd w:id="421"/>
      <w:bookmarkEnd w:id="422"/>
      <w:bookmarkEnd w:id="423"/>
      <w:bookmarkEnd w:id="424"/>
      <w:r w:rsidRPr="00487553">
        <w:rPr>
          <w:rFonts w:asciiTheme="minorEastAsia" w:eastAsiaTheme="minorEastAsia" w:hAnsiTheme="minorEastAsia" w:hint="eastAsia"/>
          <w:bCs/>
        </w:rPr>
        <w:t>基金存续期内的基金份额持有人数量和资产规模</w:t>
      </w:r>
      <w:bookmarkEnd w:id="425"/>
    </w:p>
    <w:p w14:paraId="0F8919E8" w14:textId="77777777" w:rsidR="002D2AE6" w:rsidRPr="00487553" w:rsidRDefault="002D2AE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基金合同生效后，基金份额持有人数量不满200人或者基金资产净值低于5</w:t>
      </w:r>
      <w:r w:rsidR="00D46895"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000万元的，基金管理人应当及时报告中国证监会；连续20个工作日出现前述情形的，基金管理人应当向中国证监会说明原因和报送解决方案。</w:t>
      </w:r>
    </w:p>
    <w:p w14:paraId="19B387BE" w14:textId="77777777" w:rsidR="00BA6F0E" w:rsidRPr="00487553" w:rsidRDefault="002D2AE6"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kern w:val="0"/>
          <w:szCs w:val="21"/>
        </w:rPr>
        <w:t>法律法规另有规定的，按其规定办理</w:t>
      </w:r>
      <w:r w:rsidR="00BA6F0E" w:rsidRPr="00487553">
        <w:rPr>
          <w:rFonts w:asciiTheme="minorEastAsia" w:eastAsiaTheme="minorEastAsia" w:hAnsiTheme="minorEastAsia"/>
          <w:kern w:val="0"/>
          <w:szCs w:val="21"/>
        </w:rPr>
        <w:t>。</w:t>
      </w:r>
    </w:p>
    <w:p w14:paraId="176B3451" w14:textId="77777777" w:rsidR="0064594E" w:rsidRPr="00487553" w:rsidRDefault="0064594E" w:rsidP="00D94E68">
      <w:pPr>
        <w:pStyle w:val="11"/>
        <w:numPr>
          <w:ilvl w:val="0"/>
          <w:numId w:val="14"/>
        </w:numPr>
        <w:snapToGrid w:val="0"/>
        <w:spacing w:beforeLines="0" w:afterLines="0" w:line="360" w:lineRule="auto"/>
        <w:ind w:left="1809" w:firstLineChars="0" w:hanging="1168"/>
        <w:rPr>
          <w:rFonts w:asciiTheme="minorEastAsia" w:eastAsiaTheme="minorEastAsia" w:hAnsiTheme="minorEastAsia"/>
        </w:rPr>
      </w:pPr>
      <w:bookmarkStart w:id="426" w:name="_Toc20148437"/>
      <w:r w:rsidRPr="00487553">
        <w:rPr>
          <w:rFonts w:asciiTheme="minorEastAsia" w:eastAsiaTheme="minorEastAsia" w:hAnsiTheme="minorEastAsia"/>
        </w:rPr>
        <w:lastRenderedPageBreak/>
        <w:t>基金份额的申购、赎回</w:t>
      </w:r>
      <w:bookmarkEnd w:id="426"/>
    </w:p>
    <w:p w14:paraId="06C2D0AC"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27" w:name="_Toc20148438"/>
      <w:r w:rsidRPr="00487553">
        <w:rPr>
          <w:rFonts w:asciiTheme="minorEastAsia" w:eastAsiaTheme="minorEastAsia" w:hAnsiTheme="minorEastAsia"/>
          <w:bCs/>
        </w:rPr>
        <w:t>基金投资者范围</w:t>
      </w:r>
      <w:bookmarkEnd w:id="427"/>
    </w:p>
    <w:p w14:paraId="7ACC0C04" w14:textId="34C423AF" w:rsidR="0064594E" w:rsidRPr="00487553" w:rsidRDefault="00A73E53"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符合法律法规规定的</w:t>
      </w:r>
      <w:r w:rsidR="0011446F" w:rsidRPr="00487553">
        <w:rPr>
          <w:rFonts w:asciiTheme="minorEastAsia" w:eastAsiaTheme="minorEastAsia" w:hAnsiTheme="minorEastAsia" w:hint="eastAsia"/>
          <w:kern w:val="0"/>
          <w:szCs w:val="21"/>
        </w:rPr>
        <w:t>个人投资者、机构投资者、合格境外机构投资者和法律法规或中国证监会允许购买证券投资基金的其他投资者。</w:t>
      </w:r>
    </w:p>
    <w:p w14:paraId="00F6007D"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28" w:name="_Toc20148439"/>
      <w:r w:rsidRPr="00487553">
        <w:rPr>
          <w:rFonts w:asciiTheme="minorEastAsia" w:eastAsiaTheme="minorEastAsia" w:hAnsiTheme="minorEastAsia"/>
          <w:bCs/>
        </w:rPr>
        <w:t>申购</w:t>
      </w:r>
      <w:r w:rsidR="00B828C1" w:rsidRPr="00487553">
        <w:rPr>
          <w:rFonts w:asciiTheme="minorEastAsia" w:eastAsiaTheme="minorEastAsia" w:hAnsiTheme="minorEastAsia"/>
          <w:bCs/>
        </w:rPr>
        <w:t>与</w:t>
      </w:r>
      <w:r w:rsidRPr="00487553">
        <w:rPr>
          <w:rFonts w:asciiTheme="minorEastAsia" w:eastAsiaTheme="minorEastAsia" w:hAnsiTheme="minorEastAsia"/>
          <w:bCs/>
        </w:rPr>
        <w:t>赎回的场所</w:t>
      </w:r>
      <w:bookmarkEnd w:id="428"/>
    </w:p>
    <w:p w14:paraId="787D5D0D" w14:textId="77777777" w:rsidR="003037CE" w:rsidRPr="00487553" w:rsidRDefault="006C5A9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本基金的销售机构包括基金管理人和基金管理人委托的</w:t>
      </w:r>
      <w:r w:rsidR="00250825" w:rsidRPr="00487553">
        <w:rPr>
          <w:rFonts w:asciiTheme="minorEastAsia" w:eastAsiaTheme="minorEastAsia" w:hAnsiTheme="minorEastAsia" w:hint="eastAsia"/>
          <w:kern w:val="0"/>
          <w:szCs w:val="21"/>
        </w:rPr>
        <w:t>销售</w:t>
      </w:r>
      <w:r w:rsidRPr="00487553">
        <w:rPr>
          <w:rFonts w:asciiTheme="minorEastAsia" w:eastAsiaTheme="minorEastAsia" w:hAnsiTheme="minorEastAsia" w:hint="eastAsia"/>
          <w:kern w:val="0"/>
          <w:szCs w:val="21"/>
        </w:rPr>
        <w:t>机构。</w:t>
      </w:r>
    </w:p>
    <w:p w14:paraId="7C67AAEA" w14:textId="77777777" w:rsidR="000F6441" w:rsidRPr="00487553" w:rsidRDefault="006C5A9A"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投资者应当在销售机构办理基金销售业务的营业场所或按销售机构提供的其他方式办理基金的申购与赎回。</w:t>
      </w:r>
      <w:r w:rsidR="004757F6" w:rsidRPr="00487553">
        <w:rPr>
          <w:rFonts w:asciiTheme="minorEastAsia" w:eastAsiaTheme="minorEastAsia" w:hAnsiTheme="minorEastAsia" w:hint="eastAsia"/>
          <w:kern w:val="0"/>
          <w:szCs w:val="21"/>
        </w:rPr>
        <w:t>投资者可在基金管理人指定的销售机构申购和赎回美元等外币基金份额，具体详见相关公告。</w:t>
      </w:r>
      <w:r w:rsidR="009D42B2" w:rsidRPr="00487553">
        <w:rPr>
          <w:rFonts w:asciiTheme="minorEastAsia" w:eastAsiaTheme="minorEastAsia" w:hAnsiTheme="minorEastAsia" w:hint="eastAsia"/>
          <w:kern w:val="0"/>
          <w:szCs w:val="21"/>
        </w:rPr>
        <w:t>基金管理人可根据情况</w:t>
      </w:r>
      <w:r w:rsidR="00A73E53" w:rsidRPr="00487553">
        <w:rPr>
          <w:rFonts w:asciiTheme="minorEastAsia" w:eastAsiaTheme="minorEastAsia" w:hAnsiTheme="minorEastAsia" w:hint="eastAsia"/>
          <w:kern w:val="0"/>
          <w:szCs w:val="21"/>
        </w:rPr>
        <w:t>变更</w:t>
      </w:r>
      <w:r w:rsidR="009D42B2" w:rsidRPr="00487553">
        <w:rPr>
          <w:rFonts w:asciiTheme="minorEastAsia" w:eastAsiaTheme="minorEastAsia" w:hAnsiTheme="minorEastAsia" w:hint="eastAsia"/>
          <w:kern w:val="0"/>
          <w:szCs w:val="21"/>
        </w:rPr>
        <w:t>基金销售机构</w:t>
      </w:r>
      <w:r w:rsidRPr="00487553">
        <w:rPr>
          <w:rFonts w:asciiTheme="minorEastAsia" w:eastAsiaTheme="minorEastAsia" w:hAnsiTheme="minorEastAsia" w:hint="eastAsia"/>
          <w:kern w:val="0"/>
          <w:szCs w:val="21"/>
        </w:rPr>
        <w:t>，并予以公告。</w:t>
      </w:r>
    </w:p>
    <w:p w14:paraId="3014CDAB" w14:textId="77777777" w:rsidR="006D119B" w:rsidRPr="00487553" w:rsidRDefault="006D119B"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若基金管理人或</w:t>
      </w:r>
      <w:r w:rsidR="00250825" w:rsidRPr="00487553">
        <w:rPr>
          <w:rFonts w:asciiTheme="minorEastAsia" w:eastAsiaTheme="minorEastAsia" w:hAnsiTheme="minorEastAsia" w:hint="eastAsia"/>
        </w:rPr>
        <w:t>销售</w:t>
      </w:r>
      <w:r w:rsidRPr="00487553">
        <w:rPr>
          <w:rFonts w:asciiTheme="minorEastAsia" w:eastAsiaTheme="minorEastAsia" w:hAnsiTheme="minorEastAsia" w:hint="eastAsia"/>
        </w:rPr>
        <w:t>机构开通电话、传真或网上交易业务的，投资者可以以电话、传真或网上交易等形式进行基金的申购和赎回，</w:t>
      </w:r>
      <w:r w:rsidR="00A10BA3" w:rsidRPr="00487553">
        <w:rPr>
          <w:rFonts w:asciiTheme="minorEastAsia" w:eastAsiaTheme="minorEastAsia" w:hAnsiTheme="minorEastAsia" w:hint="eastAsia"/>
          <w:szCs w:val="21"/>
        </w:rPr>
        <w:t>具体以各销售机构的规定为准</w:t>
      </w:r>
      <w:r w:rsidRPr="00487553">
        <w:rPr>
          <w:rFonts w:asciiTheme="minorEastAsia" w:eastAsiaTheme="minorEastAsia" w:hAnsiTheme="minorEastAsia" w:hint="eastAsia"/>
        </w:rPr>
        <w:t>。</w:t>
      </w:r>
    </w:p>
    <w:p w14:paraId="2922D9F0"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29" w:name="_Toc323051000"/>
      <w:bookmarkStart w:id="430" w:name="_Toc20148440"/>
      <w:bookmarkEnd w:id="429"/>
      <w:r w:rsidRPr="00487553">
        <w:rPr>
          <w:rFonts w:asciiTheme="minorEastAsia" w:eastAsiaTheme="minorEastAsia" w:hAnsiTheme="minorEastAsia"/>
          <w:bCs/>
        </w:rPr>
        <w:t>申购</w:t>
      </w:r>
      <w:r w:rsidR="006823CA" w:rsidRPr="00487553">
        <w:rPr>
          <w:rFonts w:asciiTheme="minorEastAsia" w:eastAsiaTheme="minorEastAsia" w:hAnsiTheme="minorEastAsia"/>
          <w:bCs/>
        </w:rPr>
        <w:t>和</w:t>
      </w:r>
      <w:r w:rsidRPr="00487553">
        <w:rPr>
          <w:rFonts w:asciiTheme="minorEastAsia" w:eastAsiaTheme="minorEastAsia" w:hAnsiTheme="minorEastAsia"/>
          <w:bCs/>
        </w:rPr>
        <w:t>赎回的</w:t>
      </w:r>
      <w:r w:rsidR="00F227F1" w:rsidRPr="00487553">
        <w:rPr>
          <w:rFonts w:asciiTheme="minorEastAsia" w:eastAsiaTheme="minorEastAsia" w:hAnsiTheme="minorEastAsia"/>
          <w:bCs/>
        </w:rPr>
        <w:t>开放日及</w:t>
      </w:r>
      <w:r w:rsidRPr="00487553">
        <w:rPr>
          <w:rFonts w:asciiTheme="minorEastAsia" w:eastAsiaTheme="minorEastAsia" w:hAnsiTheme="minorEastAsia"/>
          <w:bCs/>
        </w:rPr>
        <w:t>时间</w:t>
      </w:r>
      <w:bookmarkEnd w:id="430"/>
    </w:p>
    <w:p w14:paraId="390F843C" w14:textId="77777777" w:rsidR="00226F13" w:rsidRPr="00487553" w:rsidRDefault="00F2645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本基金</w:t>
      </w:r>
      <w:r w:rsidR="00226F13" w:rsidRPr="00487553">
        <w:rPr>
          <w:rFonts w:asciiTheme="minorEastAsia" w:eastAsiaTheme="minorEastAsia" w:hAnsiTheme="minorEastAsia" w:hint="eastAsia"/>
        </w:rPr>
        <w:t>A类人民币基金份额、A类美元现钞基金份额、A类美元现汇基金份额</w:t>
      </w:r>
      <w:r w:rsidRPr="00487553">
        <w:rPr>
          <w:rFonts w:asciiTheme="minorEastAsia" w:eastAsiaTheme="minorEastAsia" w:hAnsiTheme="minorEastAsia" w:hint="eastAsia"/>
        </w:rPr>
        <w:t>已于</w:t>
      </w:r>
      <w:r w:rsidRPr="00487553">
        <w:rPr>
          <w:rFonts w:asciiTheme="minorEastAsia" w:eastAsiaTheme="minorEastAsia" w:hAnsiTheme="minorEastAsia" w:hint="eastAsia"/>
          <w:kern w:val="0"/>
          <w:szCs w:val="21"/>
        </w:rPr>
        <w:t>2012年10月9日</w:t>
      </w:r>
      <w:r w:rsidRPr="00487553">
        <w:rPr>
          <w:rFonts w:asciiTheme="minorEastAsia" w:eastAsiaTheme="minorEastAsia" w:hAnsiTheme="minorEastAsia" w:hint="eastAsia"/>
        </w:rPr>
        <w:t>开始办理日常申购和赎回业务</w:t>
      </w:r>
      <w:r w:rsidR="00226F13" w:rsidRPr="00487553">
        <w:rPr>
          <w:rFonts w:asciiTheme="minorEastAsia" w:eastAsiaTheme="minorEastAsia" w:hAnsiTheme="minorEastAsia" w:hint="eastAsia"/>
        </w:rPr>
        <w:t>，本基金C类基金份额已</w:t>
      </w:r>
      <w:r w:rsidR="00226F13" w:rsidRPr="00487553">
        <w:rPr>
          <w:rFonts w:asciiTheme="minorEastAsia" w:eastAsiaTheme="minorEastAsia" w:hAnsiTheme="minorEastAsia"/>
        </w:rPr>
        <w:t>于</w:t>
      </w:r>
      <w:r w:rsidR="00226F13" w:rsidRPr="00487553">
        <w:rPr>
          <w:rFonts w:asciiTheme="minorEastAsia" w:eastAsiaTheme="minorEastAsia" w:hAnsiTheme="minorEastAsia" w:hint="eastAsia"/>
        </w:rPr>
        <w:t>2018年2月9日开始办理日常申购和赎回业务。</w:t>
      </w:r>
    </w:p>
    <w:p w14:paraId="2350C68B" w14:textId="77777777" w:rsidR="005A48C1" w:rsidRPr="00487553" w:rsidRDefault="005E3581"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w:t>
      </w:r>
      <w:r w:rsidRPr="00487553">
        <w:rPr>
          <w:rFonts w:asciiTheme="minorEastAsia" w:eastAsiaTheme="minorEastAsia" w:hAnsiTheme="minorEastAsia"/>
          <w:kern w:val="0"/>
          <w:szCs w:val="21"/>
        </w:rPr>
        <w:t>申购</w:t>
      </w:r>
      <w:r w:rsidRPr="00487553">
        <w:rPr>
          <w:rFonts w:asciiTheme="minorEastAsia" w:eastAsiaTheme="minorEastAsia" w:hAnsiTheme="minorEastAsia" w:hint="eastAsia"/>
          <w:kern w:val="0"/>
          <w:szCs w:val="21"/>
        </w:rPr>
        <w:t>和</w:t>
      </w:r>
      <w:r w:rsidRPr="00487553">
        <w:rPr>
          <w:rFonts w:asciiTheme="minorEastAsia" w:eastAsiaTheme="minorEastAsia" w:hAnsiTheme="minorEastAsia"/>
          <w:kern w:val="0"/>
          <w:szCs w:val="21"/>
        </w:rPr>
        <w:t>赎回的开放日为上海证券交易所</w:t>
      </w:r>
      <w:r w:rsidRPr="00487553">
        <w:rPr>
          <w:rFonts w:asciiTheme="minorEastAsia" w:eastAsiaTheme="minorEastAsia" w:hAnsiTheme="minorEastAsia" w:hint="eastAsia"/>
          <w:kern w:val="0"/>
          <w:szCs w:val="21"/>
        </w:rPr>
        <w:t>和香港证券交易所同时开放交易的每个工作日。基金管理人在开放日办理本基金的申购、赎回，但基金管理人根据法律法规、中国证监会的要求或基金合同的规定公告暂停申购、赎回时除外</w:t>
      </w:r>
      <w:r w:rsidR="00350936" w:rsidRPr="00487553">
        <w:rPr>
          <w:rFonts w:asciiTheme="minorEastAsia" w:eastAsiaTheme="minorEastAsia" w:hAnsiTheme="minorEastAsia" w:hint="eastAsia"/>
          <w:kern w:val="0"/>
          <w:szCs w:val="21"/>
        </w:rPr>
        <w:t>。</w:t>
      </w:r>
      <w:r w:rsidR="008709CB" w:rsidRPr="00487553">
        <w:rPr>
          <w:rFonts w:asciiTheme="minorEastAsia" w:eastAsiaTheme="minorEastAsia" w:hAnsiTheme="minorEastAsia" w:hint="eastAsia"/>
          <w:kern w:val="0"/>
          <w:szCs w:val="21"/>
        </w:rPr>
        <w:t>开放日的</w:t>
      </w:r>
      <w:r w:rsidR="00350936" w:rsidRPr="00487553">
        <w:rPr>
          <w:rFonts w:asciiTheme="minorEastAsia" w:eastAsiaTheme="minorEastAsia" w:hAnsiTheme="minorEastAsia" w:hint="eastAsia"/>
          <w:kern w:val="0"/>
          <w:szCs w:val="21"/>
        </w:rPr>
        <w:t>具体</w:t>
      </w:r>
      <w:r w:rsidR="00461856" w:rsidRPr="00487553">
        <w:rPr>
          <w:rFonts w:asciiTheme="minorEastAsia" w:eastAsiaTheme="minorEastAsia" w:hAnsiTheme="minorEastAsia" w:hint="eastAsia"/>
          <w:kern w:val="0"/>
          <w:szCs w:val="21"/>
        </w:rPr>
        <w:t>业务</w:t>
      </w:r>
      <w:r w:rsidR="00350936" w:rsidRPr="00487553">
        <w:rPr>
          <w:rFonts w:asciiTheme="minorEastAsia" w:eastAsiaTheme="minorEastAsia" w:hAnsiTheme="minorEastAsia" w:hint="eastAsia"/>
          <w:kern w:val="0"/>
          <w:szCs w:val="21"/>
        </w:rPr>
        <w:t>办理时间为上海证券交易所正常交易日的交易时间。</w:t>
      </w:r>
    </w:p>
    <w:p w14:paraId="6CDD86AE" w14:textId="77777777" w:rsidR="00E50FE0" w:rsidRPr="00487553" w:rsidRDefault="0035093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若证券交易所变更交易时间或出现其他特殊情况</w:t>
      </w:r>
      <w:r w:rsidR="0089666F"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基金管理人可对开放日、开放时间进行相应的调整，但应在实施日前依照《信息披露办法》的有关规定在指定媒体上公告。</w:t>
      </w:r>
    </w:p>
    <w:p w14:paraId="0984A64B" w14:textId="77777777" w:rsidR="00E50FE0" w:rsidRPr="00487553" w:rsidRDefault="00350936"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投资者在基金合同约定之外的日期和时间提出申购、赎回申请的，其基金份额申购、赎回价格为下次办理基金份额申购、赎回时间所在开放日的价格</w:t>
      </w:r>
      <w:r w:rsidR="00E50FE0" w:rsidRPr="00487553">
        <w:rPr>
          <w:rFonts w:asciiTheme="minorEastAsia" w:eastAsiaTheme="minorEastAsia" w:hAnsiTheme="minorEastAsia"/>
          <w:szCs w:val="21"/>
        </w:rPr>
        <w:t>。</w:t>
      </w:r>
    </w:p>
    <w:p w14:paraId="40EC4012"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31" w:name="_Toc308697488"/>
      <w:bookmarkStart w:id="432" w:name="_Toc309286010"/>
      <w:bookmarkStart w:id="433" w:name="_Toc20148441"/>
      <w:bookmarkEnd w:id="431"/>
      <w:bookmarkEnd w:id="432"/>
      <w:r w:rsidRPr="00487553">
        <w:rPr>
          <w:rFonts w:asciiTheme="minorEastAsia" w:eastAsiaTheme="minorEastAsia" w:hAnsiTheme="minorEastAsia"/>
          <w:bCs/>
        </w:rPr>
        <w:t>申购</w:t>
      </w:r>
      <w:r w:rsidR="007A18CE" w:rsidRPr="00487553">
        <w:rPr>
          <w:rFonts w:asciiTheme="minorEastAsia" w:eastAsiaTheme="minorEastAsia" w:hAnsiTheme="minorEastAsia"/>
          <w:bCs/>
        </w:rPr>
        <w:t>与</w:t>
      </w:r>
      <w:r w:rsidRPr="00487553">
        <w:rPr>
          <w:rFonts w:asciiTheme="minorEastAsia" w:eastAsiaTheme="minorEastAsia" w:hAnsiTheme="minorEastAsia"/>
          <w:bCs/>
        </w:rPr>
        <w:t>赎回的原则</w:t>
      </w:r>
      <w:bookmarkEnd w:id="433"/>
    </w:p>
    <w:p w14:paraId="4262CE8D" w14:textId="77777777" w:rsidR="009E6E3C" w:rsidRPr="00487553" w:rsidRDefault="009E6E3C"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kern w:val="0"/>
          <w:szCs w:val="21"/>
        </w:rPr>
        <w:t>1</w:t>
      </w:r>
      <w:r w:rsidRPr="00487553">
        <w:rPr>
          <w:rFonts w:asciiTheme="minorEastAsia" w:eastAsiaTheme="minorEastAsia" w:hAnsiTheme="minorEastAsia" w:cs="宋体" w:hint="eastAsia"/>
          <w:kern w:val="0"/>
          <w:szCs w:val="21"/>
        </w:rPr>
        <w:t>、“未知价”原则，即基金的申购与赎回价格以申请当日的</w:t>
      </w:r>
      <w:r w:rsidR="0079308D" w:rsidRPr="00487553">
        <w:rPr>
          <w:rFonts w:asciiTheme="minorEastAsia" w:eastAsiaTheme="minorEastAsia" w:hAnsiTheme="minorEastAsia" w:cs="宋体" w:hint="eastAsia"/>
          <w:kern w:val="0"/>
          <w:szCs w:val="21"/>
        </w:rPr>
        <w:t>各</w:t>
      </w:r>
      <w:r w:rsidR="006C0BCB" w:rsidRPr="00487553">
        <w:rPr>
          <w:rFonts w:asciiTheme="minorEastAsia" w:eastAsiaTheme="minorEastAsia" w:hAnsiTheme="minorEastAsia" w:cs="宋体" w:hint="eastAsia"/>
          <w:kern w:val="0"/>
          <w:szCs w:val="21"/>
        </w:rPr>
        <w:t>类</w:t>
      </w:r>
      <w:r w:rsidRPr="00487553">
        <w:rPr>
          <w:rFonts w:asciiTheme="minorEastAsia" w:eastAsiaTheme="minorEastAsia" w:hAnsiTheme="minorEastAsia" w:cs="宋体" w:hint="eastAsia"/>
          <w:kern w:val="0"/>
          <w:szCs w:val="21"/>
        </w:rPr>
        <w:t>基金份额净值为基准进行计</w:t>
      </w:r>
      <w:r w:rsidR="000371C0" w:rsidRPr="00487553">
        <w:rPr>
          <w:rFonts w:asciiTheme="minorEastAsia" w:eastAsiaTheme="minorEastAsia" w:hAnsiTheme="minorEastAsia" w:cs="宋体" w:hint="eastAsia"/>
          <w:kern w:val="0"/>
          <w:szCs w:val="21"/>
        </w:rPr>
        <w:t>，其中：</w:t>
      </w:r>
      <w:r w:rsidR="000371C0" w:rsidRPr="00487553">
        <w:rPr>
          <w:rFonts w:asciiTheme="minorEastAsia" w:eastAsiaTheme="minorEastAsia" w:hAnsiTheme="minorEastAsia" w:cs="宋体"/>
          <w:kern w:val="0"/>
          <w:szCs w:val="21"/>
        </w:rPr>
        <w:t>C</w:t>
      </w:r>
      <w:r w:rsidR="000371C0" w:rsidRPr="00487553">
        <w:rPr>
          <w:rFonts w:asciiTheme="minorEastAsia" w:eastAsiaTheme="minorEastAsia" w:hAnsiTheme="minorEastAsia" w:cs="宋体" w:hint="eastAsia"/>
          <w:kern w:val="0"/>
          <w:szCs w:val="21"/>
        </w:rPr>
        <w:t>类基金份额首笔申购当日的申购价格为当日</w:t>
      </w:r>
      <w:r w:rsidR="000371C0" w:rsidRPr="00487553">
        <w:rPr>
          <w:rFonts w:asciiTheme="minorEastAsia" w:eastAsiaTheme="minorEastAsia" w:hAnsiTheme="minorEastAsia" w:cs="宋体"/>
          <w:kern w:val="0"/>
          <w:szCs w:val="21"/>
        </w:rPr>
        <w:t>A</w:t>
      </w:r>
      <w:r w:rsidR="000371C0" w:rsidRPr="00487553">
        <w:rPr>
          <w:rFonts w:asciiTheme="minorEastAsia" w:eastAsiaTheme="minorEastAsia" w:hAnsiTheme="minorEastAsia" w:cs="宋体" w:hint="eastAsia"/>
          <w:kern w:val="0"/>
          <w:szCs w:val="21"/>
        </w:rPr>
        <w:t>类人民币基金份额的基金份额净值</w:t>
      </w:r>
      <w:r w:rsidRPr="00487553">
        <w:rPr>
          <w:rFonts w:asciiTheme="minorEastAsia" w:eastAsiaTheme="minorEastAsia" w:hAnsiTheme="minorEastAsia" w:cs="宋体" w:hint="eastAsia"/>
          <w:kern w:val="0"/>
          <w:szCs w:val="21"/>
        </w:rPr>
        <w:t>；</w:t>
      </w:r>
    </w:p>
    <w:p w14:paraId="639AD328" w14:textId="77777777" w:rsidR="009E6E3C" w:rsidRPr="00487553" w:rsidRDefault="009E6E3C"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kern w:val="0"/>
          <w:szCs w:val="21"/>
        </w:rPr>
        <w:t>2</w:t>
      </w:r>
      <w:r w:rsidRPr="00487553">
        <w:rPr>
          <w:rFonts w:asciiTheme="minorEastAsia" w:eastAsiaTheme="minorEastAsia" w:hAnsiTheme="minorEastAsia" w:cs="宋体" w:hint="eastAsia"/>
          <w:kern w:val="0"/>
          <w:szCs w:val="21"/>
        </w:rPr>
        <w:t>、基金采用金额申购和份额赎回的方式，即申购以金额申请，赎回以份额申请；</w:t>
      </w:r>
    </w:p>
    <w:p w14:paraId="45A3A0DD" w14:textId="77777777" w:rsidR="009E6E3C" w:rsidRPr="00487553" w:rsidRDefault="009E6E3C"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kern w:val="0"/>
          <w:szCs w:val="21"/>
        </w:rPr>
        <w:t>3</w:t>
      </w:r>
      <w:r w:rsidRPr="00487553">
        <w:rPr>
          <w:rFonts w:asciiTheme="minorEastAsia" w:eastAsiaTheme="minorEastAsia" w:hAnsiTheme="minorEastAsia" w:cs="宋体" w:hint="eastAsia"/>
          <w:kern w:val="0"/>
          <w:szCs w:val="21"/>
        </w:rPr>
        <w:t>、</w:t>
      </w:r>
      <w:r w:rsidRPr="00487553">
        <w:rPr>
          <w:rFonts w:asciiTheme="minorEastAsia" w:eastAsiaTheme="minorEastAsia" w:hAnsiTheme="minorEastAsia" w:cs="宋体"/>
          <w:kern w:val="0"/>
          <w:szCs w:val="21"/>
        </w:rPr>
        <w:t>基金份额持有人赎回时，除指定赎回外，基金管理人按</w:t>
      </w:r>
      <w:r w:rsidRPr="00487553">
        <w:rPr>
          <w:rFonts w:asciiTheme="minorEastAsia" w:eastAsiaTheme="minorEastAsia" w:hAnsiTheme="minorEastAsia" w:cs="宋体" w:hint="eastAsia"/>
          <w:kern w:val="0"/>
          <w:szCs w:val="21"/>
        </w:rPr>
        <w:t>“</w:t>
      </w:r>
      <w:r w:rsidRPr="00487553">
        <w:rPr>
          <w:rFonts w:asciiTheme="minorEastAsia" w:eastAsiaTheme="minorEastAsia" w:hAnsiTheme="minorEastAsia" w:cs="宋体"/>
          <w:kern w:val="0"/>
          <w:szCs w:val="21"/>
        </w:rPr>
        <w:t>先进先出</w:t>
      </w:r>
      <w:r w:rsidRPr="00487553">
        <w:rPr>
          <w:rFonts w:asciiTheme="minorEastAsia" w:eastAsiaTheme="minorEastAsia" w:hAnsiTheme="minorEastAsia" w:cs="宋体" w:hint="eastAsia"/>
          <w:kern w:val="0"/>
          <w:szCs w:val="21"/>
        </w:rPr>
        <w:t>”</w:t>
      </w:r>
      <w:r w:rsidRPr="00487553">
        <w:rPr>
          <w:rFonts w:asciiTheme="minorEastAsia" w:eastAsiaTheme="minorEastAsia" w:hAnsiTheme="minorEastAsia" w:cs="宋体"/>
          <w:kern w:val="0"/>
          <w:szCs w:val="21"/>
        </w:rPr>
        <w:t>的原则，对该持有人账户在该销售机构托管的</w:t>
      </w:r>
      <w:r w:rsidR="006C0BCB" w:rsidRPr="00487553">
        <w:rPr>
          <w:rFonts w:asciiTheme="minorEastAsia" w:eastAsiaTheme="minorEastAsia" w:hAnsiTheme="minorEastAsia" w:cs="宋体" w:hint="eastAsia"/>
          <w:kern w:val="0"/>
          <w:szCs w:val="21"/>
        </w:rPr>
        <w:t>该类</w:t>
      </w:r>
      <w:r w:rsidRPr="00487553">
        <w:rPr>
          <w:rFonts w:asciiTheme="minorEastAsia" w:eastAsiaTheme="minorEastAsia" w:hAnsiTheme="minorEastAsia" w:cs="宋体"/>
          <w:kern w:val="0"/>
          <w:szCs w:val="21"/>
        </w:rPr>
        <w:t>基金份额进行处理，即先确认的份额先赎回，后确认的份额后赎回，以确定所适用的赎回费率</w:t>
      </w:r>
      <w:r w:rsidRPr="00487553">
        <w:rPr>
          <w:rFonts w:asciiTheme="minorEastAsia" w:eastAsiaTheme="minorEastAsia" w:hAnsiTheme="minorEastAsia" w:cs="宋体" w:hint="eastAsia"/>
          <w:kern w:val="0"/>
          <w:szCs w:val="21"/>
        </w:rPr>
        <w:t>；</w:t>
      </w:r>
    </w:p>
    <w:p w14:paraId="315F1760" w14:textId="77777777" w:rsidR="009E6E3C" w:rsidRPr="00487553" w:rsidRDefault="009E6E3C"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4、当日的申购与赎回申请可以在当日业务办理时间结束前撤销，在当日业务办理时间</w:t>
      </w:r>
      <w:r w:rsidRPr="00487553">
        <w:rPr>
          <w:rFonts w:asciiTheme="minorEastAsia" w:eastAsiaTheme="minorEastAsia" w:hAnsiTheme="minorEastAsia" w:cs="宋体" w:hint="eastAsia"/>
          <w:kern w:val="0"/>
          <w:szCs w:val="21"/>
        </w:rPr>
        <w:lastRenderedPageBreak/>
        <w:t>结束后不得撤销；</w:t>
      </w:r>
    </w:p>
    <w:p w14:paraId="28109698" w14:textId="77777777" w:rsidR="009E6E3C" w:rsidRPr="00487553" w:rsidRDefault="009E6E3C"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5、基金管理人在不损害基金份额持有人权益的情况下可更改上述原则，但应在新的原则实施前在指定媒体公告。</w:t>
      </w:r>
    </w:p>
    <w:p w14:paraId="1F6DFB18"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34" w:name="_Toc20148442"/>
      <w:r w:rsidRPr="00487553">
        <w:rPr>
          <w:rFonts w:asciiTheme="minorEastAsia" w:eastAsiaTheme="minorEastAsia" w:hAnsiTheme="minorEastAsia"/>
          <w:bCs/>
        </w:rPr>
        <w:t>申购</w:t>
      </w:r>
      <w:r w:rsidR="006823CA" w:rsidRPr="00487553">
        <w:rPr>
          <w:rFonts w:asciiTheme="minorEastAsia" w:eastAsiaTheme="minorEastAsia" w:hAnsiTheme="minorEastAsia"/>
          <w:bCs/>
        </w:rPr>
        <w:t>和</w:t>
      </w:r>
      <w:r w:rsidRPr="00487553">
        <w:rPr>
          <w:rFonts w:asciiTheme="minorEastAsia" w:eastAsiaTheme="minorEastAsia" w:hAnsiTheme="minorEastAsia"/>
          <w:bCs/>
        </w:rPr>
        <w:t>赎回的程序</w:t>
      </w:r>
      <w:bookmarkEnd w:id="434"/>
    </w:p>
    <w:p w14:paraId="59469232" w14:textId="77777777" w:rsidR="0064594E" w:rsidRPr="00487553" w:rsidRDefault="0064594E" w:rsidP="00D94E68">
      <w:pPr>
        <w:numPr>
          <w:ilvl w:val="0"/>
          <w:numId w:val="9"/>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申请方式</w:t>
      </w:r>
    </w:p>
    <w:p w14:paraId="03637723" w14:textId="77777777" w:rsidR="00E50ECC" w:rsidRPr="00487553" w:rsidRDefault="00E50ECC"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基金投资者必须根据基金销售机构规定的程序，在开放日的</w:t>
      </w:r>
      <w:r w:rsidR="00A87BB3" w:rsidRPr="00487553">
        <w:rPr>
          <w:rFonts w:asciiTheme="minorEastAsia" w:eastAsiaTheme="minorEastAsia" w:hAnsiTheme="minorEastAsia"/>
        </w:rPr>
        <w:t>开放</w:t>
      </w:r>
      <w:r w:rsidRPr="00487553">
        <w:rPr>
          <w:rFonts w:asciiTheme="minorEastAsia" w:eastAsiaTheme="minorEastAsia" w:hAnsiTheme="minorEastAsia"/>
        </w:rPr>
        <w:t>时间向基金销售机构提出申购或赎回的申请。</w:t>
      </w:r>
    </w:p>
    <w:p w14:paraId="19DE2D91" w14:textId="77777777" w:rsidR="0064594E" w:rsidRPr="00487553" w:rsidRDefault="00E50ECC"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投资者在申购本基金时须按销售机构规定的方式备足申购资金</w:t>
      </w:r>
      <w:r w:rsidR="001A2CD2" w:rsidRPr="00487553">
        <w:rPr>
          <w:rFonts w:asciiTheme="minorEastAsia" w:eastAsiaTheme="minorEastAsia" w:hAnsiTheme="minorEastAsia"/>
        </w:rPr>
        <w:t>，</w:t>
      </w:r>
      <w:r w:rsidRPr="00487553">
        <w:rPr>
          <w:rFonts w:asciiTheme="minorEastAsia" w:eastAsiaTheme="minorEastAsia" w:hAnsiTheme="minorEastAsia"/>
        </w:rPr>
        <w:t>投资者在提交赎回申请时，必须有足够的</w:t>
      </w:r>
      <w:r w:rsidR="0081739B" w:rsidRPr="00487553">
        <w:rPr>
          <w:rFonts w:asciiTheme="minorEastAsia" w:eastAsiaTheme="minorEastAsia" w:hAnsiTheme="minorEastAsia" w:hint="eastAsia"/>
        </w:rPr>
        <w:t>该类</w:t>
      </w:r>
      <w:r w:rsidRPr="00487553">
        <w:rPr>
          <w:rFonts w:asciiTheme="minorEastAsia" w:eastAsiaTheme="minorEastAsia" w:hAnsiTheme="minorEastAsia"/>
        </w:rPr>
        <w:t>基金份额余额，否则所提交的申购、赎回的申请将可能无效而不予成交。</w:t>
      </w:r>
    </w:p>
    <w:p w14:paraId="7B86E1D3" w14:textId="77777777" w:rsidR="0064594E" w:rsidRPr="00487553" w:rsidRDefault="0064594E" w:rsidP="00D94E68">
      <w:pPr>
        <w:numPr>
          <w:ilvl w:val="0"/>
          <w:numId w:val="9"/>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rPr>
        <w:t>申购</w:t>
      </w:r>
      <w:r w:rsidR="006823CA" w:rsidRPr="00487553">
        <w:rPr>
          <w:rFonts w:asciiTheme="minorEastAsia" w:eastAsiaTheme="minorEastAsia" w:hAnsiTheme="minorEastAsia"/>
        </w:rPr>
        <w:t>与</w:t>
      </w:r>
      <w:r w:rsidRPr="00487553">
        <w:rPr>
          <w:rFonts w:asciiTheme="minorEastAsia" w:eastAsiaTheme="minorEastAsia" w:hAnsiTheme="minorEastAsia"/>
        </w:rPr>
        <w:t>赎回申请的确认</w:t>
      </w:r>
    </w:p>
    <w:p w14:paraId="009246CE" w14:textId="77777777" w:rsidR="00B15638" w:rsidRPr="00487553" w:rsidRDefault="00B1563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T日规定时间受理的申请，正常情况下，</w:t>
      </w:r>
      <w:r w:rsidR="00B93EB2" w:rsidRPr="00487553">
        <w:rPr>
          <w:rFonts w:asciiTheme="minorEastAsia" w:eastAsiaTheme="minorEastAsia" w:hAnsiTheme="minorEastAsia" w:hint="eastAsia"/>
        </w:rPr>
        <w:t>注册</w:t>
      </w:r>
      <w:r w:rsidRPr="00487553">
        <w:rPr>
          <w:rFonts w:asciiTheme="minorEastAsia" w:eastAsiaTheme="minorEastAsia" w:hAnsiTheme="minorEastAsia"/>
        </w:rPr>
        <w:t>登记机构在T+</w:t>
      </w:r>
      <w:r w:rsidR="00466EE0" w:rsidRPr="00487553">
        <w:rPr>
          <w:rFonts w:asciiTheme="minorEastAsia" w:eastAsiaTheme="minorEastAsia" w:hAnsiTheme="minorEastAsia" w:hint="eastAsia"/>
        </w:rPr>
        <w:t>1</w:t>
      </w:r>
      <w:r w:rsidRPr="00487553">
        <w:rPr>
          <w:rFonts w:asciiTheme="minorEastAsia" w:eastAsiaTheme="minorEastAsia" w:hAnsiTheme="minorEastAsia"/>
        </w:rPr>
        <w:t>日内为投资者对该交易的有效性进行确认，自T＋</w:t>
      </w:r>
      <w:r w:rsidR="00466EE0" w:rsidRPr="00487553">
        <w:rPr>
          <w:rFonts w:asciiTheme="minorEastAsia" w:eastAsiaTheme="minorEastAsia" w:hAnsiTheme="minorEastAsia" w:hint="eastAsia"/>
        </w:rPr>
        <w:t>2</w:t>
      </w:r>
      <w:r w:rsidRPr="00487553">
        <w:rPr>
          <w:rFonts w:asciiTheme="minorEastAsia" w:eastAsiaTheme="minorEastAsia" w:hAnsiTheme="minorEastAsia"/>
        </w:rPr>
        <w:t>日（包括该日）</w:t>
      </w:r>
      <w:r w:rsidR="009C2BFC" w:rsidRPr="00487553">
        <w:rPr>
          <w:rFonts w:asciiTheme="minorEastAsia" w:eastAsiaTheme="minorEastAsia" w:hAnsiTheme="minorEastAsia"/>
        </w:rPr>
        <w:t>起</w:t>
      </w:r>
      <w:r w:rsidRPr="00487553">
        <w:rPr>
          <w:rFonts w:asciiTheme="minorEastAsia" w:eastAsiaTheme="minorEastAsia" w:hAnsiTheme="minorEastAsia"/>
        </w:rPr>
        <w:t>投资者</w:t>
      </w:r>
      <w:r w:rsidR="005D17F8" w:rsidRPr="00487553">
        <w:rPr>
          <w:rFonts w:asciiTheme="minorEastAsia" w:eastAsiaTheme="minorEastAsia" w:hAnsiTheme="minorEastAsia" w:hint="eastAsia"/>
        </w:rPr>
        <w:t>应</w:t>
      </w:r>
      <w:r w:rsidRPr="00487553">
        <w:rPr>
          <w:rFonts w:asciiTheme="minorEastAsia" w:eastAsiaTheme="minorEastAsia" w:hAnsiTheme="minorEastAsia"/>
        </w:rPr>
        <w:t>向销售机构或以销售机构规定的其他方式查询申购与赎回的成交情况。</w:t>
      </w:r>
    </w:p>
    <w:p w14:paraId="06B2F6BA" w14:textId="77777777" w:rsidR="00B15638" w:rsidRPr="00487553" w:rsidRDefault="00FF05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基金销售机构</w:t>
      </w:r>
      <w:r w:rsidR="00474215" w:rsidRPr="00487553">
        <w:rPr>
          <w:rFonts w:asciiTheme="minorEastAsia" w:eastAsiaTheme="minorEastAsia" w:hAnsiTheme="minorEastAsia" w:hint="eastAsia"/>
        </w:rPr>
        <w:t>对</w:t>
      </w:r>
      <w:r w:rsidRPr="00487553">
        <w:rPr>
          <w:rFonts w:asciiTheme="minorEastAsia" w:eastAsiaTheme="minorEastAsia" w:hAnsiTheme="minorEastAsia" w:hint="eastAsia"/>
        </w:rPr>
        <w:t>申购、赎回申请的受理并不代表该申购、赎回申请一定成功，而仅代表销售机构确实接收到该申购、赎回申请。申购、赎回的确认以注册登记机构的确认结果为准</w:t>
      </w:r>
      <w:r w:rsidR="00B15638" w:rsidRPr="00487553">
        <w:rPr>
          <w:rFonts w:asciiTheme="minorEastAsia" w:eastAsiaTheme="minorEastAsia" w:hAnsiTheme="minorEastAsia"/>
        </w:rPr>
        <w:t>。</w:t>
      </w:r>
    </w:p>
    <w:p w14:paraId="1AAFDF4B" w14:textId="77777777" w:rsidR="0064594E" w:rsidRPr="00487553" w:rsidRDefault="0064594E" w:rsidP="00D94E68">
      <w:pPr>
        <w:numPr>
          <w:ilvl w:val="0"/>
          <w:numId w:val="9"/>
        </w:numPr>
        <w:tabs>
          <w:tab w:val="left" w:pos="735"/>
        </w:tabs>
        <w:snapToGrid w:val="0"/>
        <w:spacing w:line="360" w:lineRule="auto"/>
        <w:rPr>
          <w:rFonts w:asciiTheme="minorEastAsia" w:eastAsiaTheme="minorEastAsia" w:hAnsiTheme="minorEastAsia"/>
        </w:rPr>
      </w:pPr>
      <w:r w:rsidRPr="00487553">
        <w:rPr>
          <w:rFonts w:asciiTheme="minorEastAsia" w:eastAsiaTheme="minorEastAsia" w:hAnsiTheme="minorEastAsia"/>
          <w:szCs w:val="21"/>
        </w:rPr>
        <w:t>申购和赎回的款项支付</w:t>
      </w:r>
    </w:p>
    <w:p w14:paraId="6815F52E" w14:textId="77777777" w:rsidR="00F11A4A" w:rsidRPr="00487553" w:rsidRDefault="00F11A4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投资者申购人民币份额时从人民币账户缴款，赎回人民币份额时，赎回款划往投资者人民币账户。投资者申购美元现钞份额时从美元现钞账户缴款，赎回美元现钞份额时，赎回款划往投资者美元现钞账户。投资者申购美元现汇份额时从美元现汇账户缴款，赎回美元现汇份额时，赎回款划往投资者美元现汇账户。</w:t>
      </w:r>
    </w:p>
    <w:p w14:paraId="2D6BDF5C" w14:textId="77777777" w:rsidR="00E50ECC" w:rsidRPr="00487553" w:rsidRDefault="00E50ECC"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申购采用全额缴款方式，若申购资金在规定时间内未全额到账则申购不成功，若申购不成功或无效，</w:t>
      </w:r>
      <w:r w:rsidR="00A87BB3" w:rsidRPr="00487553">
        <w:rPr>
          <w:rFonts w:asciiTheme="minorEastAsia" w:eastAsiaTheme="minorEastAsia" w:hAnsiTheme="minorEastAsia"/>
        </w:rPr>
        <w:t>投资者已交付的</w:t>
      </w:r>
      <w:r w:rsidRPr="00487553">
        <w:rPr>
          <w:rFonts w:asciiTheme="minorEastAsia" w:eastAsiaTheme="minorEastAsia" w:hAnsiTheme="minorEastAsia"/>
        </w:rPr>
        <w:t>申购款项</w:t>
      </w:r>
      <w:r w:rsidR="00A87BB3" w:rsidRPr="00487553">
        <w:rPr>
          <w:rFonts w:asciiTheme="minorEastAsia" w:eastAsiaTheme="minorEastAsia" w:hAnsiTheme="minorEastAsia"/>
        </w:rPr>
        <w:t>本金</w:t>
      </w:r>
      <w:r w:rsidRPr="00487553">
        <w:rPr>
          <w:rFonts w:asciiTheme="minorEastAsia" w:eastAsiaTheme="minorEastAsia" w:hAnsiTheme="minorEastAsia"/>
        </w:rPr>
        <w:t>将退回投资者账户。</w:t>
      </w:r>
    </w:p>
    <w:p w14:paraId="1E648EF6" w14:textId="77777777" w:rsidR="00FE77F2" w:rsidRPr="00487553" w:rsidRDefault="00A177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投资者赎回申请成功后，</w:t>
      </w:r>
      <w:r w:rsidR="00FE77F2" w:rsidRPr="00487553">
        <w:rPr>
          <w:rFonts w:asciiTheme="minorEastAsia" w:eastAsiaTheme="minorEastAsia" w:hAnsiTheme="minorEastAsia" w:hint="eastAsia"/>
        </w:rPr>
        <w:t>基金管理人将通过相关基金销售机构自接受投资者有效赎回申请之日起十个工作日内支付赎回款项。国家外汇局相关规定有变更或本基金境外投资主要市场的交易清算规则有变更时，赎回款项支付日期将相应调整；当基金境外投资主要市场休市</w:t>
      </w:r>
      <w:r w:rsidR="006D6818" w:rsidRPr="00487553">
        <w:rPr>
          <w:rFonts w:asciiTheme="minorEastAsia" w:eastAsiaTheme="minorEastAsia" w:hAnsiTheme="minorEastAsia" w:hint="eastAsia"/>
          <w:kern w:val="0"/>
          <w:szCs w:val="21"/>
        </w:rPr>
        <w:t>、外汇市场休市</w:t>
      </w:r>
      <w:r w:rsidR="00FE77F2" w:rsidRPr="00487553">
        <w:rPr>
          <w:rFonts w:asciiTheme="minorEastAsia" w:eastAsiaTheme="minorEastAsia" w:hAnsiTheme="minorEastAsia" w:hint="eastAsia"/>
        </w:rPr>
        <w:t>或暂停交易时赎回款项支付日期顺延。在发生巨额赎回情形时，款项的支付办法参照基金合同有关条款处理。</w:t>
      </w:r>
    </w:p>
    <w:p w14:paraId="12CD323C"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35" w:name="_Toc20148443"/>
      <w:r w:rsidRPr="00487553">
        <w:rPr>
          <w:rFonts w:asciiTheme="minorEastAsia" w:eastAsiaTheme="minorEastAsia" w:hAnsiTheme="minorEastAsia"/>
          <w:bCs/>
        </w:rPr>
        <w:t>申购</w:t>
      </w:r>
      <w:r w:rsidR="006823CA" w:rsidRPr="00487553">
        <w:rPr>
          <w:rFonts w:asciiTheme="minorEastAsia" w:eastAsiaTheme="minorEastAsia" w:hAnsiTheme="minorEastAsia"/>
          <w:bCs/>
        </w:rPr>
        <w:t>和</w:t>
      </w:r>
      <w:r w:rsidRPr="00487553">
        <w:rPr>
          <w:rFonts w:asciiTheme="minorEastAsia" w:eastAsiaTheme="minorEastAsia" w:hAnsiTheme="minorEastAsia"/>
          <w:bCs/>
        </w:rPr>
        <w:t>赎回的数额限制</w:t>
      </w:r>
      <w:bookmarkEnd w:id="435"/>
    </w:p>
    <w:p w14:paraId="650CEA7B" w14:textId="77777777" w:rsidR="0064594E" w:rsidRPr="00487553" w:rsidRDefault="0064594E"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1、申购基金的金额限制</w:t>
      </w:r>
    </w:p>
    <w:p w14:paraId="3B8C63D9" w14:textId="77777777" w:rsidR="004676FE" w:rsidRPr="00487553" w:rsidRDefault="00F95B64"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4676FE" w:rsidRPr="00487553">
        <w:rPr>
          <w:rFonts w:asciiTheme="minorEastAsia" w:eastAsiaTheme="minorEastAsia" w:hAnsiTheme="minorEastAsia" w:hint="eastAsia"/>
          <w:szCs w:val="21"/>
        </w:rPr>
        <w:t>人民币基金份额：投资者通过</w:t>
      </w:r>
      <w:r w:rsidR="00250825" w:rsidRPr="00487553">
        <w:rPr>
          <w:rStyle w:val="da"/>
          <w:rFonts w:asciiTheme="minorEastAsia" w:eastAsiaTheme="minorEastAsia" w:hAnsiTheme="minorEastAsia" w:hint="eastAsia"/>
        </w:rPr>
        <w:t>非直销销售机构</w:t>
      </w:r>
      <w:r w:rsidR="004676FE" w:rsidRPr="00487553">
        <w:rPr>
          <w:rFonts w:asciiTheme="minorEastAsia" w:eastAsiaTheme="minorEastAsia" w:hAnsiTheme="minorEastAsia" w:hint="eastAsia"/>
          <w:szCs w:val="21"/>
        </w:rPr>
        <w:t>或本公司网上交易系统以人民币首次</w:t>
      </w:r>
      <w:r w:rsidR="009511E2" w:rsidRPr="00487553">
        <w:rPr>
          <w:rFonts w:asciiTheme="minorEastAsia" w:eastAsiaTheme="minorEastAsia" w:hAnsiTheme="minorEastAsia" w:hint="eastAsia"/>
          <w:szCs w:val="21"/>
        </w:rPr>
        <w:t>申</w:t>
      </w:r>
      <w:r w:rsidR="004676FE" w:rsidRPr="00487553">
        <w:rPr>
          <w:rFonts w:asciiTheme="minorEastAsia" w:eastAsiaTheme="minorEastAsia" w:hAnsiTheme="minorEastAsia" w:hint="eastAsia"/>
          <w:szCs w:val="21"/>
        </w:rPr>
        <w:t>购的单笔最低限额为</w:t>
      </w:r>
      <w:r w:rsidR="00225EE1" w:rsidRPr="00487553">
        <w:rPr>
          <w:rFonts w:asciiTheme="minorEastAsia" w:eastAsiaTheme="minorEastAsia" w:hAnsiTheme="minorEastAsia" w:hint="eastAsia"/>
          <w:szCs w:val="21"/>
        </w:rPr>
        <w:t>1</w:t>
      </w:r>
      <w:r w:rsidR="004676FE" w:rsidRPr="00487553">
        <w:rPr>
          <w:rFonts w:asciiTheme="minorEastAsia" w:eastAsiaTheme="minorEastAsia" w:hAnsiTheme="minorEastAsia" w:hint="eastAsia"/>
          <w:szCs w:val="21"/>
        </w:rPr>
        <w:t>元，追加</w:t>
      </w:r>
      <w:r w:rsidR="009511E2" w:rsidRPr="00487553">
        <w:rPr>
          <w:rFonts w:asciiTheme="minorEastAsia" w:eastAsiaTheme="minorEastAsia" w:hAnsiTheme="minorEastAsia" w:hint="eastAsia"/>
          <w:szCs w:val="21"/>
        </w:rPr>
        <w:t>申</w:t>
      </w:r>
      <w:r w:rsidR="004676FE" w:rsidRPr="00487553">
        <w:rPr>
          <w:rFonts w:asciiTheme="minorEastAsia" w:eastAsiaTheme="minorEastAsia" w:hAnsiTheme="minorEastAsia" w:hint="eastAsia"/>
          <w:szCs w:val="21"/>
        </w:rPr>
        <w:t>购单笔最低限额为</w:t>
      </w:r>
      <w:r w:rsidR="00225EE1" w:rsidRPr="00487553">
        <w:rPr>
          <w:rFonts w:asciiTheme="minorEastAsia" w:eastAsiaTheme="minorEastAsia" w:hAnsiTheme="minorEastAsia" w:hint="eastAsia"/>
          <w:szCs w:val="21"/>
        </w:rPr>
        <w:t>1</w:t>
      </w:r>
      <w:r w:rsidR="004676FE" w:rsidRPr="00487553">
        <w:rPr>
          <w:rFonts w:asciiTheme="minorEastAsia" w:eastAsiaTheme="minorEastAsia" w:hAnsiTheme="minorEastAsia" w:hint="eastAsia"/>
          <w:szCs w:val="21"/>
        </w:rPr>
        <w:t>元；投资者通过</w:t>
      </w:r>
      <w:r w:rsidR="00A46F74" w:rsidRPr="00487553">
        <w:rPr>
          <w:rFonts w:asciiTheme="minorEastAsia" w:eastAsiaTheme="minorEastAsia" w:hAnsiTheme="minorEastAsia" w:hint="eastAsia"/>
          <w:szCs w:val="21"/>
        </w:rPr>
        <w:t>本公司</w:t>
      </w:r>
      <w:r w:rsidR="004676FE" w:rsidRPr="00487553">
        <w:rPr>
          <w:rFonts w:asciiTheme="minorEastAsia" w:eastAsiaTheme="minorEastAsia" w:hAnsiTheme="minorEastAsia" w:hint="eastAsia"/>
          <w:szCs w:val="21"/>
        </w:rPr>
        <w:t>直销中</w:t>
      </w:r>
      <w:r w:rsidR="004676FE" w:rsidRPr="00487553">
        <w:rPr>
          <w:rFonts w:asciiTheme="minorEastAsia" w:eastAsiaTheme="minorEastAsia" w:hAnsiTheme="minorEastAsia" w:hint="eastAsia"/>
          <w:szCs w:val="21"/>
        </w:rPr>
        <w:lastRenderedPageBreak/>
        <w:t>心以人民币</w:t>
      </w:r>
      <w:r w:rsidR="00363FA4" w:rsidRPr="00487553">
        <w:rPr>
          <w:rFonts w:asciiTheme="minorEastAsia" w:eastAsiaTheme="minorEastAsia" w:hAnsiTheme="minorEastAsia" w:hint="eastAsia"/>
          <w:szCs w:val="21"/>
        </w:rPr>
        <w:t>首次申</w:t>
      </w:r>
      <w:r w:rsidR="004676FE" w:rsidRPr="00487553">
        <w:rPr>
          <w:rFonts w:asciiTheme="minorEastAsia" w:eastAsiaTheme="minorEastAsia" w:hAnsiTheme="minorEastAsia" w:hint="eastAsia"/>
          <w:szCs w:val="21"/>
        </w:rPr>
        <w:t>购的单笔最低限额为</w:t>
      </w:r>
      <w:r w:rsidR="004676FE" w:rsidRPr="00487553">
        <w:rPr>
          <w:rFonts w:asciiTheme="minorEastAsia" w:eastAsiaTheme="minorEastAsia" w:hAnsiTheme="minorEastAsia"/>
          <w:szCs w:val="21"/>
        </w:rPr>
        <w:t>50,000</w:t>
      </w:r>
      <w:r w:rsidR="00363FA4" w:rsidRPr="00487553">
        <w:rPr>
          <w:rFonts w:asciiTheme="minorEastAsia" w:eastAsiaTheme="minorEastAsia" w:hAnsiTheme="minorEastAsia" w:hint="eastAsia"/>
          <w:szCs w:val="21"/>
        </w:rPr>
        <w:t>元，追加申</w:t>
      </w:r>
      <w:r w:rsidR="004676FE" w:rsidRPr="00487553">
        <w:rPr>
          <w:rFonts w:asciiTheme="minorEastAsia" w:eastAsiaTheme="minorEastAsia" w:hAnsiTheme="minorEastAsia" w:hint="eastAsia"/>
          <w:szCs w:val="21"/>
        </w:rPr>
        <w:t>购单笔最低限额为</w:t>
      </w:r>
      <w:r w:rsidR="004676FE" w:rsidRPr="00487553">
        <w:rPr>
          <w:rFonts w:asciiTheme="minorEastAsia" w:eastAsiaTheme="minorEastAsia" w:hAnsiTheme="minorEastAsia"/>
          <w:szCs w:val="21"/>
        </w:rPr>
        <w:t>1,000</w:t>
      </w:r>
      <w:r w:rsidR="004676FE" w:rsidRPr="00487553">
        <w:rPr>
          <w:rFonts w:asciiTheme="minorEastAsia" w:eastAsiaTheme="minorEastAsia" w:hAnsiTheme="minorEastAsia" w:hint="eastAsia"/>
          <w:szCs w:val="21"/>
        </w:rPr>
        <w:t>元。</w:t>
      </w:r>
    </w:p>
    <w:p w14:paraId="13DF5CA4" w14:textId="615CFF24" w:rsidR="004676FE" w:rsidRPr="00487553" w:rsidRDefault="00F96D2E"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4676FE" w:rsidRPr="00487553">
        <w:rPr>
          <w:rFonts w:asciiTheme="minorEastAsia" w:eastAsiaTheme="minorEastAsia" w:hAnsiTheme="minorEastAsia" w:hint="eastAsia"/>
          <w:szCs w:val="21"/>
        </w:rPr>
        <w:t>美元现钞基金份额：投资者通过</w:t>
      </w:r>
      <w:r w:rsidR="00250825" w:rsidRPr="00487553">
        <w:rPr>
          <w:rStyle w:val="da"/>
          <w:rFonts w:asciiTheme="minorEastAsia" w:eastAsiaTheme="minorEastAsia" w:hAnsiTheme="minorEastAsia" w:hint="eastAsia"/>
        </w:rPr>
        <w:t>非直销销售机构</w:t>
      </w:r>
      <w:r w:rsidR="004676FE" w:rsidRPr="00487553">
        <w:rPr>
          <w:rFonts w:asciiTheme="minorEastAsia" w:eastAsiaTheme="minorEastAsia" w:hAnsiTheme="minorEastAsia" w:hint="eastAsia"/>
          <w:szCs w:val="21"/>
        </w:rPr>
        <w:t>以美元现钞首次申购的单笔最低限额为</w:t>
      </w:r>
      <w:r w:rsidR="004676FE" w:rsidRPr="00487553">
        <w:rPr>
          <w:rFonts w:asciiTheme="minorEastAsia" w:eastAsiaTheme="minorEastAsia" w:hAnsiTheme="minorEastAsia"/>
          <w:szCs w:val="21"/>
        </w:rPr>
        <w:t>1</w:t>
      </w:r>
      <w:r w:rsidR="004676FE" w:rsidRPr="00487553">
        <w:rPr>
          <w:rFonts w:asciiTheme="minorEastAsia" w:eastAsiaTheme="minorEastAsia" w:hAnsiTheme="minorEastAsia" w:hint="eastAsia"/>
          <w:szCs w:val="21"/>
        </w:rPr>
        <w:t>美元，追加申购单笔最低限额为</w:t>
      </w:r>
      <w:r w:rsidR="004676FE" w:rsidRPr="00487553">
        <w:rPr>
          <w:rFonts w:asciiTheme="minorEastAsia" w:eastAsiaTheme="minorEastAsia" w:hAnsiTheme="minorEastAsia"/>
          <w:szCs w:val="21"/>
        </w:rPr>
        <w:t>1</w:t>
      </w:r>
      <w:r w:rsidR="004676FE" w:rsidRPr="00487553">
        <w:rPr>
          <w:rFonts w:asciiTheme="minorEastAsia" w:eastAsiaTheme="minorEastAsia" w:hAnsiTheme="minorEastAsia" w:hint="eastAsia"/>
          <w:szCs w:val="21"/>
        </w:rPr>
        <w:t>美元</w:t>
      </w:r>
      <w:r w:rsidR="004676FE" w:rsidRPr="00487553">
        <w:rPr>
          <w:rFonts w:asciiTheme="minorEastAsia" w:eastAsiaTheme="minorEastAsia" w:hAnsiTheme="minorEastAsia" w:hint="eastAsia"/>
        </w:rPr>
        <w:t>。</w:t>
      </w:r>
    </w:p>
    <w:p w14:paraId="7AF1CD20" w14:textId="050BDADA" w:rsidR="005676E3" w:rsidRPr="00487553" w:rsidRDefault="00F96D2E"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4676FE" w:rsidRPr="00487553">
        <w:rPr>
          <w:rFonts w:asciiTheme="minorEastAsia" w:eastAsiaTheme="minorEastAsia" w:hAnsiTheme="minorEastAsia" w:hint="eastAsia"/>
          <w:szCs w:val="21"/>
        </w:rPr>
        <w:t>美元现汇基金份额：投资者通过</w:t>
      </w:r>
      <w:r w:rsidR="00250825" w:rsidRPr="00487553">
        <w:rPr>
          <w:rStyle w:val="da"/>
          <w:rFonts w:asciiTheme="minorEastAsia" w:eastAsiaTheme="minorEastAsia" w:hAnsiTheme="minorEastAsia" w:hint="eastAsia"/>
        </w:rPr>
        <w:t>非直销销售机构</w:t>
      </w:r>
      <w:r w:rsidR="004676FE" w:rsidRPr="00487553">
        <w:rPr>
          <w:rFonts w:asciiTheme="minorEastAsia" w:eastAsiaTheme="minorEastAsia" w:hAnsiTheme="minorEastAsia" w:hint="eastAsia"/>
          <w:szCs w:val="21"/>
        </w:rPr>
        <w:t>以美元现汇首次申购的单笔最低限额为</w:t>
      </w:r>
      <w:r w:rsidR="004676FE" w:rsidRPr="00487553">
        <w:rPr>
          <w:rFonts w:asciiTheme="minorEastAsia" w:eastAsiaTheme="minorEastAsia" w:hAnsiTheme="minorEastAsia"/>
          <w:szCs w:val="21"/>
        </w:rPr>
        <w:t>1</w:t>
      </w:r>
      <w:r w:rsidR="004676FE" w:rsidRPr="00487553">
        <w:rPr>
          <w:rFonts w:asciiTheme="minorEastAsia" w:eastAsiaTheme="minorEastAsia" w:hAnsiTheme="minorEastAsia" w:hint="eastAsia"/>
          <w:szCs w:val="21"/>
        </w:rPr>
        <w:t>美元，追加申购单笔最低限额为</w:t>
      </w:r>
      <w:r w:rsidR="004676FE" w:rsidRPr="00487553">
        <w:rPr>
          <w:rFonts w:asciiTheme="minorEastAsia" w:eastAsiaTheme="minorEastAsia" w:hAnsiTheme="minorEastAsia"/>
          <w:szCs w:val="21"/>
        </w:rPr>
        <w:t>1</w:t>
      </w:r>
      <w:r w:rsidR="004676FE" w:rsidRPr="00487553">
        <w:rPr>
          <w:rFonts w:asciiTheme="minorEastAsia" w:eastAsiaTheme="minorEastAsia" w:hAnsiTheme="minorEastAsia" w:hint="eastAsia"/>
          <w:szCs w:val="21"/>
        </w:rPr>
        <w:t>美元；</w:t>
      </w:r>
      <w:r w:rsidR="004676FE" w:rsidRPr="00487553">
        <w:rPr>
          <w:rFonts w:asciiTheme="minorEastAsia" w:eastAsiaTheme="minorEastAsia" w:hAnsiTheme="minorEastAsia" w:hint="eastAsia"/>
        </w:rPr>
        <w:t>机构投资者通过本公司直销中心以美元现汇首次申购的单笔最低限额为5,000美元，追加申购单笔最低限额为100美元</w:t>
      </w:r>
      <w:r w:rsidR="007C1691" w:rsidRPr="00487553">
        <w:rPr>
          <w:rFonts w:asciiTheme="minorEastAsia" w:eastAsiaTheme="minorEastAsia" w:hAnsiTheme="minorEastAsia" w:hint="eastAsia"/>
        </w:rPr>
        <w:t>（直销中心暂不开通个人投资者外币申购业务）</w:t>
      </w:r>
      <w:r w:rsidR="00AC39CE" w:rsidRPr="00487553">
        <w:rPr>
          <w:rFonts w:asciiTheme="minorEastAsia" w:eastAsiaTheme="minorEastAsia" w:hAnsiTheme="minorEastAsia" w:hint="eastAsia"/>
          <w:szCs w:val="21"/>
        </w:rPr>
        <w:t>。</w:t>
      </w:r>
    </w:p>
    <w:p w14:paraId="295744C1" w14:textId="77777777" w:rsidR="00F95B64" w:rsidRPr="00487553" w:rsidRDefault="00F95B64" w:rsidP="00094D94">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C类</w:t>
      </w:r>
      <w:r w:rsidRPr="00487553">
        <w:rPr>
          <w:rFonts w:asciiTheme="minorEastAsia" w:eastAsiaTheme="minorEastAsia" w:hAnsiTheme="minorEastAsia" w:hint="eastAsia"/>
          <w:szCs w:val="21"/>
        </w:rPr>
        <w:t>基金份额：投资者通过本公司网上交易系统首次申购的单笔最低限额为</w:t>
      </w:r>
      <w:r w:rsidR="00F96D2E" w:rsidRPr="00487553">
        <w:rPr>
          <w:rFonts w:asciiTheme="minorEastAsia" w:eastAsiaTheme="minorEastAsia" w:hAnsiTheme="minorEastAsia" w:hint="eastAsia"/>
          <w:szCs w:val="21"/>
        </w:rPr>
        <w:t>人民币</w:t>
      </w:r>
      <w:r w:rsidRPr="00487553">
        <w:rPr>
          <w:rFonts w:asciiTheme="minorEastAsia" w:eastAsiaTheme="minorEastAsia" w:hAnsiTheme="minorEastAsia" w:hint="eastAsia"/>
          <w:szCs w:val="21"/>
        </w:rPr>
        <w:t>1元，追加申购单笔最低限额为</w:t>
      </w:r>
      <w:r w:rsidR="00F96D2E" w:rsidRPr="00487553">
        <w:rPr>
          <w:rFonts w:asciiTheme="minorEastAsia" w:eastAsiaTheme="minorEastAsia" w:hAnsiTheme="minorEastAsia" w:hint="eastAsia"/>
          <w:szCs w:val="21"/>
        </w:rPr>
        <w:t>人民币</w:t>
      </w:r>
      <w:r w:rsidRPr="00487553">
        <w:rPr>
          <w:rFonts w:asciiTheme="minorEastAsia" w:eastAsiaTheme="minorEastAsia" w:hAnsiTheme="minorEastAsia" w:hint="eastAsia"/>
          <w:szCs w:val="21"/>
        </w:rPr>
        <w:t>1元；投资者通过本公司直销中心以人民币首次申购的单笔最低限额为</w:t>
      </w:r>
      <w:r w:rsidR="00F96D2E" w:rsidRPr="00487553">
        <w:rPr>
          <w:rFonts w:asciiTheme="minorEastAsia" w:eastAsiaTheme="minorEastAsia" w:hAnsiTheme="minorEastAsia" w:hint="eastAsia"/>
          <w:szCs w:val="21"/>
        </w:rPr>
        <w:t>人民币</w:t>
      </w:r>
      <w:r w:rsidRPr="00487553">
        <w:rPr>
          <w:rFonts w:asciiTheme="minorEastAsia" w:eastAsiaTheme="minorEastAsia" w:hAnsiTheme="minorEastAsia"/>
          <w:szCs w:val="21"/>
        </w:rPr>
        <w:t>50,000</w:t>
      </w:r>
      <w:r w:rsidRPr="00487553">
        <w:rPr>
          <w:rFonts w:asciiTheme="minorEastAsia" w:eastAsiaTheme="minorEastAsia" w:hAnsiTheme="minorEastAsia" w:hint="eastAsia"/>
          <w:szCs w:val="21"/>
        </w:rPr>
        <w:t>元，追加申购单笔最低限额为</w:t>
      </w:r>
      <w:r w:rsidR="00F96D2E" w:rsidRPr="00487553">
        <w:rPr>
          <w:rFonts w:asciiTheme="minorEastAsia" w:eastAsiaTheme="minorEastAsia" w:hAnsiTheme="minorEastAsia" w:hint="eastAsia"/>
          <w:szCs w:val="21"/>
        </w:rPr>
        <w:t>人民币</w:t>
      </w:r>
      <w:r w:rsidRPr="00487553">
        <w:rPr>
          <w:rFonts w:asciiTheme="minorEastAsia" w:eastAsiaTheme="minorEastAsia" w:hAnsiTheme="minorEastAsia"/>
          <w:szCs w:val="21"/>
        </w:rPr>
        <w:t>1,000</w:t>
      </w:r>
      <w:r w:rsidRPr="00487553">
        <w:rPr>
          <w:rFonts w:asciiTheme="minorEastAsia" w:eastAsiaTheme="minorEastAsia" w:hAnsiTheme="minorEastAsia" w:hint="eastAsia"/>
          <w:szCs w:val="21"/>
        </w:rPr>
        <w:t>元。</w:t>
      </w:r>
    </w:p>
    <w:p w14:paraId="13F56AF8" w14:textId="6399C22B" w:rsidR="009A4B84" w:rsidRPr="00487553" w:rsidRDefault="007C2F5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在符合法律法规规定的前提下，</w:t>
      </w:r>
      <w:r w:rsidR="009A4B84" w:rsidRPr="00487553">
        <w:rPr>
          <w:rFonts w:asciiTheme="minorEastAsia" w:eastAsiaTheme="minorEastAsia" w:hAnsiTheme="minorEastAsia" w:hint="eastAsia"/>
          <w:szCs w:val="21"/>
        </w:rPr>
        <w:t>各</w:t>
      </w:r>
      <w:r w:rsidR="00A73E53" w:rsidRPr="00487553">
        <w:rPr>
          <w:rFonts w:asciiTheme="minorEastAsia" w:eastAsiaTheme="minorEastAsia" w:hAnsiTheme="minorEastAsia" w:hint="eastAsia"/>
          <w:szCs w:val="21"/>
        </w:rPr>
        <w:t>销售</w:t>
      </w:r>
      <w:r w:rsidR="009A4B84" w:rsidRPr="00487553">
        <w:rPr>
          <w:rFonts w:asciiTheme="minorEastAsia" w:eastAsiaTheme="minorEastAsia" w:hAnsiTheme="minorEastAsia" w:hint="eastAsia"/>
          <w:szCs w:val="21"/>
        </w:rPr>
        <w:t>机构对最低申购限额及交易级差有其他规定的,</w:t>
      </w:r>
      <w:r w:rsidR="00CB04DB" w:rsidRPr="00487553">
        <w:rPr>
          <w:rFonts w:asciiTheme="minorEastAsia" w:eastAsiaTheme="minorEastAsia" w:hAnsiTheme="minorEastAsia" w:hint="eastAsia"/>
          <w:szCs w:val="21"/>
        </w:rPr>
        <w:t>需同时遵循该销售机构的相关规定</w:t>
      </w:r>
      <w:r w:rsidR="009A4B84" w:rsidRPr="00487553">
        <w:rPr>
          <w:rFonts w:asciiTheme="minorEastAsia" w:eastAsiaTheme="minorEastAsia" w:hAnsiTheme="minorEastAsia" w:hint="eastAsia"/>
          <w:szCs w:val="21"/>
        </w:rPr>
        <w:t>。</w:t>
      </w:r>
      <w:r w:rsidR="00AC39CE" w:rsidRPr="00487553">
        <w:rPr>
          <w:rFonts w:asciiTheme="minorEastAsia" w:eastAsiaTheme="minorEastAsia" w:hAnsiTheme="minorEastAsia" w:hint="eastAsia"/>
          <w:szCs w:val="21"/>
        </w:rPr>
        <w:t>（以上金额均含申购费）</w:t>
      </w:r>
    </w:p>
    <w:p w14:paraId="4915712D" w14:textId="77777777" w:rsidR="009A4B84" w:rsidRPr="00487553" w:rsidRDefault="009A4B84"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投资者将当期分配的基金收益转购基金份额或采用定期定额投资计划时，不受最低申购金额的限制。</w:t>
      </w:r>
    </w:p>
    <w:p w14:paraId="56A3B751" w14:textId="77777777" w:rsidR="009A4B84" w:rsidRPr="00487553" w:rsidRDefault="009A4B84"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投资者可多次申购，对单个投资者累计持有份额不设上限限制。法律法规、中国证监会另有规定的除外。</w:t>
      </w:r>
    </w:p>
    <w:p w14:paraId="61BC94D0" w14:textId="77777777" w:rsidR="00E91292" w:rsidRPr="00487553" w:rsidRDefault="00E91292"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1AA5C91B" w14:textId="77777777" w:rsidR="0064594E" w:rsidRPr="00487553" w:rsidRDefault="0064594E" w:rsidP="00D94E68">
      <w:pPr>
        <w:snapToGrid w:val="0"/>
        <w:spacing w:line="360" w:lineRule="auto"/>
        <w:ind w:firstLineChars="200" w:firstLine="420"/>
        <w:rPr>
          <w:rFonts w:asciiTheme="minorEastAsia" w:eastAsiaTheme="minorEastAsia" w:hAnsiTheme="minorEastAsia"/>
          <w:szCs w:val="21"/>
        </w:rPr>
      </w:pPr>
      <w:bookmarkStart w:id="436" w:name="_Toc296440149"/>
      <w:bookmarkStart w:id="437" w:name="_Toc296526988"/>
      <w:bookmarkStart w:id="438" w:name="_Toc306614217"/>
      <w:bookmarkStart w:id="439" w:name="_Toc308697492"/>
      <w:bookmarkStart w:id="440" w:name="_Toc309286014"/>
      <w:bookmarkStart w:id="441" w:name="_Toc310513330"/>
      <w:bookmarkStart w:id="442" w:name="_Toc323051005"/>
      <w:bookmarkStart w:id="443" w:name="OLE_LINK2"/>
      <w:r w:rsidRPr="00487553">
        <w:rPr>
          <w:rFonts w:asciiTheme="minorEastAsia" w:eastAsiaTheme="minorEastAsia" w:hAnsiTheme="minorEastAsia"/>
          <w:szCs w:val="21"/>
        </w:rPr>
        <w:t>2、赎回的份额限制</w:t>
      </w:r>
      <w:bookmarkEnd w:id="436"/>
      <w:bookmarkEnd w:id="437"/>
      <w:bookmarkEnd w:id="438"/>
      <w:bookmarkEnd w:id="439"/>
      <w:bookmarkEnd w:id="440"/>
      <w:bookmarkEnd w:id="441"/>
      <w:bookmarkEnd w:id="442"/>
    </w:p>
    <w:p w14:paraId="6520C69B" w14:textId="77777777" w:rsidR="0083515F" w:rsidRPr="00487553" w:rsidRDefault="00C304D4"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t>投资者可将其全部或部分基金</w:t>
      </w:r>
      <w:r w:rsidRPr="00487553">
        <w:rPr>
          <w:rFonts w:asciiTheme="minorEastAsia" w:eastAsiaTheme="minorEastAsia" w:hAnsiTheme="minorEastAsia" w:hint="eastAsia"/>
          <w:szCs w:val="21"/>
        </w:rPr>
        <w:t>份额</w:t>
      </w:r>
      <w:r w:rsidRPr="00487553">
        <w:rPr>
          <w:rFonts w:asciiTheme="minorEastAsia" w:eastAsiaTheme="minorEastAsia" w:hAnsiTheme="minorEastAsia"/>
          <w:szCs w:val="21"/>
        </w:rPr>
        <w:t>赎回。</w:t>
      </w:r>
    </w:p>
    <w:p w14:paraId="3570122F" w14:textId="77777777" w:rsidR="00BE6D3A" w:rsidRPr="00487553" w:rsidRDefault="00D056A4"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Pr="00487553">
        <w:rPr>
          <w:rFonts w:asciiTheme="minorEastAsia" w:eastAsiaTheme="minorEastAsia" w:hAnsiTheme="minorEastAsia" w:hint="eastAsia"/>
          <w:szCs w:val="21"/>
        </w:rPr>
        <w:t>人民币基金份额和</w:t>
      </w:r>
      <w:r w:rsidRPr="00487553">
        <w:rPr>
          <w:rFonts w:asciiTheme="minorEastAsia" w:eastAsiaTheme="minorEastAsia" w:hAnsiTheme="minorEastAsia"/>
          <w:szCs w:val="21"/>
        </w:rPr>
        <w:t>C类基金份额</w:t>
      </w:r>
      <w:r w:rsidR="00C304D4" w:rsidRPr="00487553">
        <w:rPr>
          <w:rFonts w:asciiTheme="minorEastAsia" w:eastAsiaTheme="minorEastAsia" w:hAnsiTheme="minorEastAsia"/>
          <w:szCs w:val="21"/>
        </w:rPr>
        <w:t>单笔赎回或转换不得少于</w:t>
      </w:r>
      <w:r w:rsidR="00225EE1" w:rsidRPr="00487553">
        <w:rPr>
          <w:rFonts w:asciiTheme="minorEastAsia" w:eastAsiaTheme="minorEastAsia" w:hAnsiTheme="minorEastAsia" w:hint="eastAsia"/>
          <w:szCs w:val="21"/>
        </w:rPr>
        <w:t>1</w:t>
      </w:r>
      <w:r w:rsidR="00C304D4" w:rsidRPr="00487553">
        <w:rPr>
          <w:rFonts w:asciiTheme="minorEastAsia" w:eastAsiaTheme="minorEastAsia" w:hAnsiTheme="minorEastAsia"/>
          <w:szCs w:val="21"/>
        </w:rPr>
        <w:t>份（</w:t>
      </w:r>
      <w:r w:rsidRPr="00487553">
        <w:rPr>
          <w:rFonts w:asciiTheme="minorEastAsia" w:eastAsiaTheme="minorEastAsia" w:hAnsiTheme="minorEastAsia"/>
          <w:szCs w:val="21"/>
        </w:rPr>
        <w:t>如该</w:t>
      </w:r>
      <w:r w:rsidRPr="00487553">
        <w:rPr>
          <w:rFonts w:asciiTheme="minorEastAsia" w:eastAsiaTheme="minorEastAsia" w:hAnsiTheme="minorEastAsia" w:hint="eastAsia"/>
          <w:szCs w:val="21"/>
        </w:rPr>
        <w:t>账</w:t>
      </w:r>
      <w:r w:rsidRPr="00487553">
        <w:rPr>
          <w:rFonts w:asciiTheme="minorEastAsia" w:eastAsiaTheme="minorEastAsia" w:hAnsiTheme="minorEastAsia"/>
          <w:szCs w:val="21"/>
        </w:rPr>
        <w:t>户在该销售机构托管的</w:t>
      </w:r>
      <w:r w:rsidRPr="00487553">
        <w:rPr>
          <w:rFonts w:asciiTheme="minorEastAsia" w:eastAsiaTheme="minorEastAsia" w:hAnsiTheme="minorEastAsia" w:hint="eastAsia"/>
          <w:szCs w:val="21"/>
        </w:rPr>
        <w:t>该A</w:t>
      </w:r>
      <w:r w:rsidRPr="00487553">
        <w:rPr>
          <w:rFonts w:asciiTheme="minorEastAsia" w:eastAsiaTheme="minorEastAsia" w:hAnsiTheme="minorEastAsia"/>
          <w:szCs w:val="21"/>
        </w:rPr>
        <w:t>类</w:t>
      </w:r>
      <w:r w:rsidRPr="00487553">
        <w:rPr>
          <w:rFonts w:asciiTheme="minorEastAsia" w:eastAsiaTheme="minorEastAsia" w:hAnsiTheme="minorEastAsia" w:hint="eastAsia"/>
          <w:szCs w:val="21"/>
        </w:rPr>
        <w:t>人民币基金份额或该</w:t>
      </w:r>
      <w:r w:rsidRPr="00487553">
        <w:rPr>
          <w:rFonts w:asciiTheme="minorEastAsia" w:eastAsiaTheme="minorEastAsia" w:hAnsiTheme="minorEastAsia"/>
          <w:szCs w:val="21"/>
        </w:rPr>
        <w:t>C类基金份额余额不足</w:t>
      </w:r>
      <w:r w:rsidR="00225EE1" w:rsidRPr="00487553">
        <w:rPr>
          <w:rFonts w:asciiTheme="minorEastAsia" w:eastAsiaTheme="minorEastAsia" w:hAnsiTheme="minorEastAsia" w:hint="eastAsia"/>
          <w:szCs w:val="21"/>
        </w:rPr>
        <w:t>1</w:t>
      </w:r>
      <w:r w:rsidR="00C304D4" w:rsidRPr="00487553">
        <w:rPr>
          <w:rFonts w:asciiTheme="minorEastAsia" w:eastAsiaTheme="minorEastAsia" w:hAnsiTheme="minorEastAsia"/>
          <w:szCs w:val="21"/>
        </w:rPr>
        <w:t>份</w:t>
      </w:r>
      <w:r w:rsidR="00C304D4" w:rsidRPr="00487553">
        <w:rPr>
          <w:rFonts w:asciiTheme="minorEastAsia" w:eastAsiaTheme="minorEastAsia" w:hAnsiTheme="minorEastAsia" w:hint="eastAsia"/>
          <w:szCs w:val="21"/>
        </w:rPr>
        <w:t>，</w:t>
      </w:r>
      <w:r w:rsidR="00C304D4" w:rsidRPr="00487553">
        <w:rPr>
          <w:rFonts w:asciiTheme="minorEastAsia" w:eastAsiaTheme="minorEastAsia" w:hAnsiTheme="minorEastAsia"/>
          <w:szCs w:val="21"/>
        </w:rPr>
        <w:t>则必须一次性赎回或转出</w:t>
      </w:r>
      <w:r w:rsidRPr="00487553">
        <w:rPr>
          <w:rFonts w:asciiTheme="minorEastAsia" w:eastAsiaTheme="minorEastAsia" w:hAnsiTheme="minorEastAsia" w:hint="eastAsia"/>
          <w:szCs w:val="21"/>
        </w:rPr>
        <w:t>该</w:t>
      </w:r>
      <w:r w:rsidRPr="00487553">
        <w:rPr>
          <w:rFonts w:asciiTheme="minorEastAsia" w:eastAsiaTheme="minorEastAsia" w:hAnsiTheme="minorEastAsia"/>
          <w:szCs w:val="21"/>
        </w:rPr>
        <w:t>类基金份额</w:t>
      </w:r>
      <w:r w:rsidR="00C304D4" w:rsidRPr="00487553">
        <w:rPr>
          <w:rFonts w:asciiTheme="minorEastAsia" w:eastAsiaTheme="minorEastAsia" w:hAnsiTheme="minorEastAsia"/>
          <w:szCs w:val="21"/>
        </w:rPr>
        <w:t>全部份额）；若某笔赎回将导致投资者在</w:t>
      </w:r>
      <w:r w:rsidR="00EC57EA" w:rsidRPr="00487553">
        <w:rPr>
          <w:rFonts w:asciiTheme="minorEastAsia" w:eastAsiaTheme="minorEastAsia" w:hAnsiTheme="minorEastAsia" w:hint="eastAsia"/>
          <w:szCs w:val="21"/>
        </w:rPr>
        <w:t>该</w:t>
      </w:r>
      <w:r w:rsidR="00C304D4" w:rsidRPr="00487553">
        <w:rPr>
          <w:rFonts w:asciiTheme="minorEastAsia" w:eastAsiaTheme="minorEastAsia" w:hAnsiTheme="minorEastAsia"/>
          <w:szCs w:val="21"/>
        </w:rPr>
        <w:t>销售机构托管的</w:t>
      </w:r>
      <w:r w:rsidRPr="00487553">
        <w:rPr>
          <w:rFonts w:asciiTheme="minorEastAsia" w:eastAsiaTheme="minorEastAsia" w:hAnsiTheme="minorEastAsia" w:hint="eastAsia"/>
          <w:szCs w:val="21"/>
        </w:rPr>
        <w:t>该A</w:t>
      </w:r>
      <w:r w:rsidRPr="00487553">
        <w:rPr>
          <w:rFonts w:asciiTheme="minorEastAsia" w:eastAsiaTheme="minorEastAsia" w:hAnsiTheme="minorEastAsia"/>
          <w:szCs w:val="21"/>
        </w:rPr>
        <w:t>类</w:t>
      </w:r>
      <w:r w:rsidRPr="00487553">
        <w:rPr>
          <w:rFonts w:asciiTheme="minorEastAsia" w:eastAsiaTheme="minorEastAsia" w:hAnsiTheme="minorEastAsia" w:hint="eastAsia"/>
          <w:szCs w:val="21"/>
        </w:rPr>
        <w:t>人民币基金份额或该</w:t>
      </w:r>
      <w:r w:rsidRPr="00487553">
        <w:rPr>
          <w:rFonts w:asciiTheme="minorEastAsia" w:eastAsiaTheme="minorEastAsia" w:hAnsiTheme="minorEastAsia"/>
          <w:szCs w:val="21"/>
        </w:rPr>
        <w:t>C类基金份额</w:t>
      </w:r>
      <w:r w:rsidR="00C304D4" w:rsidRPr="00487553">
        <w:rPr>
          <w:rFonts w:asciiTheme="minorEastAsia" w:eastAsiaTheme="minorEastAsia" w:hAnsiTheme="minorEastAsia"/>
          <w:szCs w:val="21"/>
        </w:rPr>
        <w:t>余额不足</w:t>
      </w:r>
      <w:r w:rsidR="00225EE1" w:rsidRPr="00487553">
        <w:rPr>
          <w:rFonts w:asciiTheme="minorEastAsia" w:eastAsiaTheme="minorEastAsia" w:hAnsiTheme="minorEastAsia" w:hint="eastAsia"/>
          <w:szCs w:val="21"/>
        </w:rPr>
        <w:t>1</w:t>
      </w:r>
      <w:r w:rsidR="00C304D4" w:rsidRPr="00487553">
        <w:rPr>
          <w:rFonts w:asciiTheme="minorEastAsia" w:eastAsiaTheme="minorEastAsia" w:hAnsiTheme="minorEastAsia"/>
          <w:szCs w:val="21"/>
        </w:rPr>
        <w:t>份时</w:t>
      </w:r>
      <w:r w:rsidR="00C304D4" w:rsidRPr="00487553">
        <w:rPr>
          <w:rFonts w:asciiTheme="minorEastAsia" w:eastAsiaTheme="minorEastAsia" w:hAnsiTheme="minorEastAsia" w:hint="eastAsia"/>
          <w:szCs w:val="21"/>
        </w:rPr>
        <w:t>，</w:t>
      </w:r>
      <w:r w:rsidR="00C304D4" w:rsidRPr="00487553">
        <w:rPr>
          <w:rFonts w:asciiTheme="minorEastAsia" w:eastAsiaTheme="minorEastAsia" w:hAnsiTheme="minorEastAsia"/>
          <w:szCs w:val="21"/>
        </w:rPr>
        <w:t>基金管理人有权将投资者在该销售机构托管的</w:t>
      </w:r>
      <w:r w:rsidR="00D8381D" w:rsidRPr="00487553">
        <w:rPr>
          <w:rFonts w:asciiTheme="minorEastAsia" w:eastAsiaTheme="minorEastAsia" w:hAnsiTheme="minorEastAsia" w:hint="eastAsia"/>
          <w:szCs w:val="21"/>
        </w:rPr>
        <w:t>该</w:t>
      </w:r>
      <w:r w:rsidR="00D8381D" w:rsidRPr="00487553">
        <w:rPr>
          <w:rFonts w:asciiTheme="minorEastAsia" w:eastAsiaTheme="minorEastAsia" w:hAnsiTheme="minorEastAsia"/>
          <w:szCs w:val="21"/>
        </w:rPr>
        <w:t>类基金份额</w:t>
      </w:r>
      <w:r w:rsidR="00C304D4" w:rsidRPr="00487553">
        <w:rPr>
          <w:rFonts w:asciiTheme="minorEastAsia" w:eastAsiaTheme="minorEastAsia" w:hAnsiTheme="minorEastAsia"/>
          <w:szCs w:val="21"/>
        </w:rPr>
        <w:t>剩余份额一次性全部赎回。</w:t>
      </w:r>
    </w:p>
    <w:p w14:paraId="277661CD" w14:textId="77777777" w:rsidR="00C304D4" w:rsidRPr="00487553" w:rsidRDefault="00D8381D"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美元现钞</w:t>
      </w:r>
      <w:r w:rsidR="00C304D4" w:rsidRPr="00487553">
        <w:rPr>
          <w:rFonts w:asciiTheme="minorEastAsia" w:eastAsiaTheme="minorEastAsia" w:hAnsiTheme="minorEastAsia"/>
          <w:kern w:val="0"/>
          <w:szCs w:val="21"/>
        </w:rPr>
        <w:t>基金份额</w:t>
      </w:r>
      <w:r w:rsidR="00C304D4" w:rsidRPr="00487553">
        <w:rPr>
          <w:rFonts w:asciiTheme="minorEastAsia" w:eastAsiaTheme="minorEastAsia" w:hAnsiTheme="minorEastAsia" w:hint="eastAsia"/>
          <w:kern w:val="0"/>
          <w:szCs w:val="21"/>
        </w:rPr>
        <w:t>和</w:t>
      </w: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美元现汇基金份额的</w:t>
      </w:r>
      <w:r w:rsidR="00C304D4" w:rsidRPr="00487553">
        <w:rPr>
          <w:rFonts w:asciiTheme="minorEastAsia" w:eastAsiaTheme="minorEastAsia" w:hAnsiTheme="minorEastAsia"/>
          <w:szCs w:val="21"/>
        </w:rPr>
        <w:t>单笔赎回或转换</w:t>
      </w:r>
      <w:r w:rsidR="00C304D4" w:rsidRPr="00487553">
        <w:rPr>
          <w:rFonts w:asciiTheme="minorEastAsia" w:eastAsiaTheme="minorEastAsia" w:hAnsiTheme="minorEastAsia" w:hint="eastAsia"/>
          <w:szCs w:val="21"/>
        </w:rPr>
        <w:t>分别</w:t>
      </w:r>
      <w:r w:rsidR="00C304D4" w:rsidRPr="00487553">
        <w:rPr>
          <w:rFonts w:asciiTheme="minorEastAsia" w:eastAsiaTheme="minorEastAsia" w:hAnsiTheme="minorEastAsia"/>
          <w:szCs w:val="21"/>
        </w:rPr>
        <w:t>不得少于</w:t>
      </w:r>
      <w:r w:rsidR="00C304D4" w:rsidRPr="00487553">
        <w:rPr>
          <w:rFonts w:asciiTheme="minorEastAsia" w:eastAsiaTheme="minorEastAsia" w:hAnsiTheme="minorEastAsia" w:hint="eastAsia"/>
          <w:szCs w:val="21"/>
        </w:rPr>
        <w:t>10</w:t>
      </w:r>
      <w:r w:rsidR="00C304D4" w:rsidRPr="00487553">
        <w:rPr>
          <w:rFonts w:asciiTheme="minorEastAsia" w:eastAsiaTheme="minorEastAsia" w:hAnsiTheme="minorEastAsia"/>
          <w:szCs w:val="21"/>
        </w:rPr>
        <w:t>份（如该</w:t>
      </w:r>
      <w:r w:rsidR="00152F17" w:rsidRPr="00487553">
        <w:rPr>
          <w:rFonts w:asciiTheme="minorEastAsia" w:eastAsiaTheme="minorEastAsia" w:hAnsiTheme="minorEastAsia" w:hint="eastAsia"/>
          <w:szCs w:val="21"/>
        </w:rPr>
        <w:t>账</w:t>
      </w:r>
      <w:r w:rsidR="00C304D4" w:rsidRPr="00487553">
        <w:rPr>
          <w:rFonts w:asciiTheme="minorEastAsia" w:eastAsiaTheme="minorEastAsia" w:hAnsiTheme="minorEastAsia"/>
          <w:szCs w:val="21"/>
        </w:rPr>
        <w:t>户在该销售机构托管的</w:t>
      </w:r>
      <w:r w:rsidRPr="00487553">
        <w:rPr>
          <w:rFonts w:asciiTheme="minorEastAsia" w:eastAsiaTheme="minorEastAsia" w:hAnsiTheme="minorEastAsia" w:hint="eastAsia"/>
          <w:szCs w:val="21"/>
        </w:rPr>
        <w:t>该A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美元现钞份额或</w:t>
      </w:r>
      <w:r w:rsidRPr="00487553">
        <w:rPr>
          <w:rFonts w:asciiTheme="minorEastAsia" w:eastAsiaTheme="minorEastAsia" w:hAnsiTheme="minorEastAsia" w:hint="eastAsia"/>
          <w:kern w:val="0"/>
          <w:szCs w:val="21"/>
        </w:rPr>
        <w:t>该</w:t>
      </w:r>
      <w:r w:rsidRPr="00487553">
        <w:rPr>
          <w:rFonts w:asciiTheme="minorEastAsia" w:eastAsiaTheme="minorEastAsia" w:hAnsiTheme="minorEastAsia" w:hint="eastAsia"/>
          <w:szCs w:val="21"/>
        </w:rPr>
        <w:t>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美元现汇份额的</w:t>
      </w:r>
      <w:r w:rsidR="00C304D4" w:rsidRPr="00487553">
        <w:rPr>
          <w:rFonts w:asciiTheme="minorEastAsia" w:eastAsiaTheme="minorEastAsia" w:hAnsiTheme="minorEastAsia"/>
          <w:kern w:val="0"/>
          <w:szCs w:val="21"/>
        </w:rPr>
        <w:t>基金</w:t>
      </w:r>
      <w:r w:rsidR="00C304D4" w:rsidRPr="00487553">
        <w:rPr>
          <w:rFonts w:asciiTheme="minorEastAsia" w:eastAsiaTheme="minorEastAsia" w:hAnsiTheme="minorEastAsia" w:hint="eastAsia"/>
          <w:kern w:val="0"/>
          <w:szCs w:val="21"/>
        </w:rPr>
        <w:t>份额</w:t>
      </w:r>
      <w:r w:rsidR="00C304D4" w:rsidRPr="00487553">
        <w:rPr>
          <w:rFonts w:asciiTheme="minorEastAsia" w:eastAsiaTheme="minorEastAsia" w:hAnsiTheme="minorEastAsia"/>
          <w:szCs w:val="21"/>
        </w:rPr>
        <w:t>余额不足</w:t>
      </w:r>
      <w:r w:rsidR="00C304D4" w:rsidRPr="00487553">
        <w:rPr>
          <w:rFonts w:asciiTheme="minorEastAsia" w:eastAsiaTheme="minorEastAsia" w:hAnsiTheme="minorEastAsia" w:hint="eastAsia"/>
          <w:szCs w:val="21"/>
        </w:rPr>
        <w:t>10</w:t>
      </w:r>
      <w:r w:rsidR="00C304D4" w:rsidRPr="00487553">
        <w:rPr>
          <w:rFonts w:asciiTheme="minorEastAsia" w:eastAsiaTheme="minorEastAsia" w:hAnsiTheme="minorEastAsia"/>
          <w:szCs w:val="21"/>
        </w:rPr>
        <w:t>份</w:t>
      </w:r>
      <w:r w:rsidR="00C304D4" w:rsidRPr="00487553">
        <w:rPr>
          <w:rFonts w:asciiTheme="minorEastAsia" w:eastAsiaTheme="minorEastAsia" w:hAnsiTheme="minorEastAsia" w:hint="eastAsia"/>
          <w:szCs w:val="21"/>
        </w:rPr>
        <w:t>，</w:t>
      </w:r>
      <w:r w:rsidR="00C304D4" w:rsidRPr="00487553">
        <w:rPr>
          <w:rFonts w:asciiTheme="minorEastAsia" w:eastAsiaTheme="minorEastAsia" w:hAnsiTheme="minorEastAsia"/>
          <w:szCs w:val="21"/>
        </w:rPr>
        <w:t>则必须一次性赎回或转出</w:t>
      </w:r>
      <w:r w:rsidR="00C304D4" w:rsidRPr="00487553">
        <w:rPr>
          <w:rFonts w:asciiTheme="minorEastAsia" w:eastAsiaTheme="minorEastAsia" w:hAnsiTheme="minorEastAsia" w:hint="eastAsia"/>
          <w:szCs w:val="21"/>
        </w:rPr>
        <w:t>该类基金份额</w:t>
      </w:r>
      <w:r w:rsidR="00C304D4" w:rsidRPr="00487553">
        <w:rPr>
          <w:rFonts w:asciiTheme="minorEastAsia" w:eastAsiaTheme="minorEastAsia" w:hAnsiTheme="minorEastAsia"/>
          <w:szCs w:val="21"/>
        </w:rPr>
        <w:t>全部份额）；若某笔赎回将导致投资者在</w:t>
      </w:r>
      <w:r w:rsidR="00EC57EA" w:rsidRPr="00487553">
        <w:rPr>
          <w:rFonts w:asciiTheme="minorEastAsia" w:eastAsiaTheme="minorEastAsia" w:hAnsiTheme="minorEastAsia" w:hint="eastAsia"/>
          <w:szCs w:val="21"/>
        </w:rPr>
        <w:t>该</w:t>
      </w:r>
      <w:r w:rsidR="00C304D4" w:rsidRPr="00487553">
        <w:rPr>
          <w:rFonts w:asciiTheme="minorEastAsia" w:eastAsiaTheme="minorEastAsia" w:hAnsiTheme="minorEastAsia"/>
          <w:szCs w:val="21"/>
        </w:rPr>
        <w:t>销售机构托管的</w:t>
      </w:r>
      <w:r w:rsidRPr="00487553">
        <w:rPr>
          <w:rFonts w:asciiTheme="minorEastAsia" w:eastAsiaTheme="minorEastAsia" w:hAnsiTheme="minorEastAsia" w:hint="eastAsia"/>
          <w:szCs w:val="21"/>
        </w:rPr>
        <w:t>该A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美元现钞份额或</w:t>
      </w:r>
      <w:r w:rsidRPr="00487553">
        <w:rPr>
          <w:rFonts w:asciiTheme="minorEastAsia" w:eastAsiaTheme="minorEastAsia" w:hAnsiTheme="minorEastAsia" w:hint="eastAsia"/>
          <w:szCs w:val="21"/>
        </w:rPr>
        <w:t>该A</w:t>
      </w:r>
      <w:r w:rsidRPr="00487553">
        <w:rPr>
          <w:rFonts w:asciiTheme="minorEastAsia" w:eastAsiaTheme="minorEastAsia" w:hAnsiTheme="minorEastAsia"/>
          <w:szCs w:val="21"/>
        </w:rPr>
        <w:t>类</w:t>
      </w:r>
      <w:r w:rsidR="00C304D4" w:rsidRPr="00487553">
        <w:rPr>
          <w:rFonts w:asciiTheme="minorEastAsia" w:eastAsiaTheme="minorEastAsia" w:hAnsiTheme="minorEastAsia" w:hint="eastAsia"/>
          <w:kern w:val="0"/>
          <w:szCs w:val="21"/>
        </w:rPr>
        <w:t>美元现汇份额的</w:t>
      </w:r>
      <w:r w:rsidR="00C304D4" w:rsidRPr="00487553">
        <w:rPr>
          <w:rFonts w:asciiTheme="minorEastAsia" w:eastAsiaTheme="minorEastAsia" w:hAnsiTheme="minorEastAsia"/>
          <w:szCs w:val="21"/>
        </w:rPr>
        <w:t>基金</w:t>
      </w:r>
      <w:r w:rsidR="00C304D4" w:rsidRPr="00487553">
        <w:rPr>
          <w:rFonts w:asciiTheme="minorEastAsia" w:eastAsiaTheme="minorEastAsia" w:hAnsiTheme="minorEastAsia" w:hint="eastAsia"/>
          <w:szCs w:val="21"/>
        </w:rPr>
        <w:t>份额</w:t>
      </w:r>
      <w:r w:rsidR="00C304D4" w:rsidRPr="00487553">
        <w:rPr>
          <w:rFonts w:asciiTheme="minorEastAsia" w:eastAsiaTheme="minorEastAsia" w:hAnsiTheme="minorEastAsia"/>
          <w:szCs w:val="21"/>
        </w:rPr>
        <w:t>余额不足</w:t>
      </w:r>
      <w:r w:rsidR="00C304D4" w:rsidRPr="00487553">
        <w:rPr>
          <w:rFonts w:asciiTheme="minorEastAsia" w:eastAsiaTheme="minorEastAsia" w:hAnsiTheme="minorEastAsia" w:hint="eastAsia"/>
          <w:szCs w:val="21"/>
        </w:rPr>
        <w:t>10</w:t>
      </w:r>
      <w:r w:rsidR="00C304D4" w:rsidRPr="00487553">
        <w:rPr>
          <w:rFonts w:asciiTheme="minorEastAsia" w:eastAsiaTheme="minorEastAsia" w:hAnsiTheme="minorEastAsia"/>
          <w:szCs w:val="21"/>
        </w:rPr>
        <w:t>份时</w:t>
      </w:r>
      <w:r w:rsidR="00C304D4" w:rsidRPr="00487553">
        <w:rPr>
          <w:rFonts w:asciiTheme="minorEastAsia" w:eastAsiaTheme="minorEastAsia" w:hAnsiTheme="minorEastAsia" w:hint="eastAsia"/>
          <w:szCs w:val="21"/>
        </w:rPr>
        <w:t>，</w:t>
      </w:r>
      <w:r w:rsidR="00C304D4" w:rsidRPr="00487553">
        <w:rPr>
          <w:rFonts w:asciiTheme="minorEastAsia" w:eastAsiaTheme="minorEastAsia" w:hAnsiTheme="minorEastAsia"/>
          <w:szCs w:val="21"/>
        </w:rPr>
        <w:t>基金管理人有权将投资者在该销售机构托管的</w:t>
      </w:r>
      <w:r w:rsidR="00C304D4" w:rsidRPr="00487553">
        <w:rPr>
          <w:rFonts w:asciiTheme="minorEastAsia" w:eastAsiaTheme="minorEastAsia" w:hAnsiTheme="minorEastAsia" w:hint="eastAsia"/>
          <w:szCs w:val="21"/>
        </w:rPr>
        <w:t>该类</w:t>
      </w:r>
      <w:r w:rsidR="00C304D4" w:rsidRPr="00487553">
        <w:rPr>
          <w:rFonts w:asciiTheme="minorEastAsia" w:eastAsiaTheme="minorEastAsia" w:hAnsiTheme="minorEastAsia"/>
          <w:szCs w:val="21"/>
        </w:rPr>
        <w:t>基金</w:t>
      </w:r>
      <w:r w:rsidR="00C304D4" w:rsidRPr="00487553">
        <w:rPr>
          <w:rFonts w:asciiTheme="minorEastAsia" w:eastAsiaTheme="minorEastAsia" w:hAnsiTheme="minorEastAsia" w:hint="eastAsia"/>
          <w:szCs w:val="21"/>
        </w:rPr>
        <w:t>份额</w:t>
      </w:r>
      <w:r w:rsidR="00C304D4" w:rsidRPr="00487553">
        <w:rPr>
          <w:rFonts w:asciiTheme="minorEastAsia" w:eastAsiaTheme="minorEastAsia" w:hAnsiTheme="minorEastAsia"/>
          <w:szCs w:val="21"/>
        </w:rPr>
        <w:t>剩余份额一次性全部赎回。</w:t>
      </w:r>
    </w:p>
    <w:p w14:paraId="0392CF51" w14:textId="1CBAE468" w:rsidR="00C304D4" w:rsidRPr="00487553" w:rsidRDefault="00D45BED"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在符合法律法规规定的前提下，</w:t>
      </w:r>
      <w:r w:rsidR="00C304D4" w:rsidRPr="00487553">
        <w:rPr>
          <w:rFonts w:asciiTheme="minorEastAsia" w:eastAsiaTheme="minorEastAsia" w:hAnsiTheme="minorEastAsia" w:hint="eastAsia"/>
          <w:szCs w:val="21"/>
        </w:rPr>
        <w:t>各销售机构对赎回份额限制有其他规定的,</w:t>
      </w:r>
      <w:r w:rsidR="00CB04DB" w:rsidRPr="00487553">
        <w:rPr>
          <w:rFonts w:asciiTheme="minorEastAsia" w:eastAsiaTheme="minorEastAsia" w:hAnsiTheme="minorEastAsia" w:hint="eastAsia"/>
          <w:szCs w:val="21"/>
        </w:rPr>
        <w:t>需同时遵循该销售机构的相关规定</w:t>
      </w:r>
      <w:r w:rsidR="00C304D4" w:rsidRPr="00487553">
        <w:rPr>
          <w:rFonts w:asciiTheme="minorEastAsia" w:eastAsiaTheme="minorEastAsia" w:hAnsiTheme="minorEastAsia" w:hint="eastAsia"/>
          <w:szCs w:val="21"/>
        </w:rPr>
        <w:t>。</w:t>
      </w:r>
    </w:p>
    <w:bookmarkEnd w:id="443"/>
    <w:p w14:paraId="322801BC" w14:textId="689B55FA" w:rsidR="004C7E2F" w:rsidRPr="00487553" w:rsidRDefault="0064594E"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lastRenderedPageBreak/>
        <w:t>3、</w:t>
      </w:r>
      <w:r w:rsidR="004C7E2F" w:rsidRPr="00487553">
        <w:rPr>
          <w:rFonts w:asciiTheme="minorEastAsia" w:eastAsiaTheme="minorEastAsia" w:hAnsiTheme="minorEastAsia" w:hint="eastAsia"/>
          <w:szCs w:val="21"/>
        </w:rPr>
        <w:t>基金管理人</w:t>
      </w:r>
      <w:r w:rsidR="003C6F7A" w:rsidRPr="00487553">
        <w:rPr>
          <w:rFonts w:asciiTheme="minorEastAsia" w:eastAsiaTheme="minorEastAsia" w:hAnsiTheme="minorEastAsia" w:hint="eastAsia"/>
          <w:szCs w:val="21"/>
        </w:rPr>
        <w:t>可根据市场</w:t>
      </w:r>
      <w:r w:rsidR="003C6F7A" w:rsidRPr="00487553">
        <w:rPr>
          <w:rFonts w:asciiTheme="minorEastAsia" w:eastAsiaTheme="minorEastAsia" w:hAnsiTheme="minorEastAsia"/>
          <w:szCs w:val="21"/>
        </w:rPr>
        <w:t>情况制定或调整上述申购、赎回的程序及有关</w:t>
      </w:r>
      <w:r w:rsidR="00384BE7" w:rsidRPr="00487553">
        <w:rPr>
          <w:rFonts w:asciiTheme="minorEastAsia" w:eastAsiaTheme="minorEastAsia" w:hAnsiTheme="minorEastAsia" w:hint="eastAsia"/>
          <w:szCs w:val="21"/>
        </w:rPr>
        <w:t>限制</w:t>
      </w:r>
      <w:r w:rsidR="003C6F7A" w:rsidRPr="00487553">
        <w:rPr>
          <w:rFonts w:asciiTheme="minorEastAsia" w:eastAsiaTheme="minorEastAsia" w:hAnsiTheme="minorEastAsia"/>
          <w:szCs w:val="21"/>
        </w:rPr>
        <w:t>，但应按照《</w:t>
      </w:r>
      <w:r w:rsidR="003C6F7A" w:rsidRPr="00487553">
        <w:rPr>
          <w:rFonts w:asciiTheme="minorEastAsia" w:eastAsiaTheme="minorEastAsia" w:hAnsiTheme="minorEastAsia" w:hint="eastAsia"/>
          <w:szCs w:val="21"/>
        </w:rPr>
        <w:t>信息</w:t>
      </w:r>
      <w:r w:rsidR="003C6F7A" w:rsidRPr="00487553">
        <w:rPr>
          <w:rFonts w:asciiTheme="minorEastAsia" w:eastAsiaTheme="minorEastAsia" w:hAnsiTheme="minorEastAsia"/>
          <w:szCs w:val="21"/>
        </w:rPr>
        <w:t>披露办法》</w:t>
      </w:r>
      <w:r w:rsidR="003C6F7A" w:rsidRPr="00487553">
        <w:rPr>
          <w:rFonts w:asciiTheme="minorEastAsia" w:eastAsiaTheme="minorEastAsia" w:hAnsiTheme="minorEastAsia" w:hint="eastAsia"/>
          <w:szCs w:val="21"/>
        </w:rPr>
        <w:t>或</w:t>
      </w:r>
      <w:r w:rsidR="003C6F7A" w:rsidRPr="00487553">
        <w:rPr>
          <w:rFonts w:asciiTheme="minorEastAsia" w:eastAsiaTheme="minorEastAsia" w:hAnsiTheme="minorEastAsia"/>
          <w:szCs w:val="21"/>
        </w:rPr>
        <w:t>其他相关规定在调整</w:t>
      </w:r>
      <w:r w:rsidR="003C6F7A" w:rsidRPr="00487553">
        <w:rPr>
          <w:rFonts w:asciiTheme="minorEastAsia" w:eastAsiaTheme="minorEastAsia" w:hAnsiTheme="minorEastAsia" w:hint="eastAsia"/>
          <w:szCs w:val="21"/>
        </w:rPr>
        <w:t>生效</w:t>
      </w:r>
      <w:r w:rsidR="003C6F7A" w:rsidRPr="00487553">
        <w:rPr>
          <w:rFonts w:asciiTheme="minorEastAsia" w:eastAsiaTheme="minorEastAsia" w:hAnsiTheme="minorEastAsia"/>
          <w:szCs w:val="21"/>
        </w:rPr>
        <w:t>前</w:t>
      </w:r>
      <w:r w:rsidR="003C6F7A" w:rsidRPr="00487553">
        <w:rPr>
          <w:rFonts w:asciiTheme="minorEastAsia" w:eastAsiaTheme="minorEastAsia" w:hAnsiTheme="minorEastAsia" w:hint="eastAsia"/>
          <w:szCs w:val="21"/>
        </w:rPr>
        <w:t>至少</w:t>
      </w:r>
      <w:r w:rsidR="003C6F7A" w:rsidRPr="00487553">
        <w:rPr>
          <w:rFonts w:asciiTheme="minorEastAsia" w:eastAsiaTheme="minorEastAsia" w:hAnsiTheme="minorEastAsia"/>
          <w:szCs w:val="21"/>
        </w:rPr>
        <w:t>在一家指定媒体及基金管理人网站公告并报中国证监会备案</w:t>
      </w:r>
      <w:r w:rsidR="00072016" w:rsidRPr="00487553">
        <w:rPr>
          <w:rFonts w:asciiTheme="minorEastAsia" w:eastAsiaTheme="minorEastAsia" w:hAnsiTheme="minorEastAsia" w:hint="eastAsia"/>
          <w:szCs w:val="21"/>
        </w:rPr>
        <w:t>。</w:t>
      </w:r>
    </w:p>
    <w:p w14:paraId="43D762B0" w14:textId="1F142DA9"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44" w:name="_Toc296526989"/>
      <w:bookmarkStart w:id="445" w:name="_Toc20148444"/>
      <w:bookmarkEnd w:id="444"/>
      <w:r w:rsidRPr="00487553">
        <w:rPr>
          <w:rFonts w:asciiTheme="minorEastAsia" w:eastAsiaTheme="minorEastAsia" w:hAnsiTheme="minorEastAsia"/>
          <w:bCs/>
        </w:rPr>
        <w:t>申购</w:t>
      </w:r>
      <w:r w:rsidR="00C148F8" w:rsidRPr="00487553">
        <w:rPr>
          <w:rFonts w:asciiTheme="minorEastAsia" w:eastAsiaTheme="minorEastAsia" w:hAnsiTheme="minorEastAsia"/>
          <w:bCs/>
        </w:rPr>
        <w:t>与</w:t>
      </w:r>
      <w:r w:rsidRPr="00487553">
        <w:rPr>
          <w:rFonts w:asciiTheme="minorEastAsia" w:eastAsiaTheme="minorEastAsia" w:hAnsiTheme="minorEastAsia"/>
          <w:bCs/>
        </w:rPr>
        <w:t>赎回的费率</w:t>
      </w:r>
      <w:bookmarkEnd w:id="445"/>
    </w:p>
    <w:p w14:paraId="38F1C82A" w14:textId="77777777" w:rsidR="0064594E" w:rsidRPr="00487553" w:rsidRDefault="0064594E" w:rsidP="00D94E68">
      <w:pPr>
        <w:numPr>
          <w:ilvl w:val="0"/>
          <w:numId w:val="58"/>
        </w:numPr>
        <w:autoSpaceDE w:val="0"/>
        <w:autoSpaceDN w:val="0"/>
        <w:snapToGrid w:val="0"/>
        <w:spacing w:line="360" w:lineRule="auto"/>
        <w:textAlignment w:val="bottom"/>
        <w:rPr>
          <w:rFonts w:asciiTheme="minorEastAsia" w:eastAsiaTheme="minorEastAsia" w:hAnsiTheme="minorEastAsia"/>
        </w:rPr>
      </w:pPr>
      <w:r w:rsidRPr="00487553">
        <w:rPr>
          <w:rFonts w:asciiTheme="minorEastAsia" w:eastAsiaTheme="minorEastAsia" w:hAnsiTheme="minorEastAsia"/>
        </w:rPr>
        <w:t>本基金的申购费率</w:t>
      </w:r>
    </w:p>
    <w:p w14:paraId="2E98BF03" w14:textId="77777777" w:rsidR="00771104" w:rsidRPr="00487553" w:rsidRDefault="00771104" w:rsidP="00B01706">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（1）</w:t>
      </w:r>
      <w:r w:rsidRPr="00487553">
        <w:rPr>
          <w:rFonts w:asciiTheme="minorEastAsia" w:eastAsiaTheme="minorEastAsia" w:hAnsiTheme="minorEastAsia"/>
          <w:szCs w:val="21"/>
        </w:rPr>
        <w:t>A类</w:t>
      </w:r>
      <w:r w:rsidRPr="00487553">
        <w:rPr>
          <w:rFonts w:asciiTheme="minorEastAsia" w:eastAsiaTheme="minorEastAsia" w:hAnsiTheme="minorEastAsia" w:hint="eastAsia"/>
        </w:rPr>
        <w:t>人民币</w:t>
      </w:r>
      <w:r w:rsidRPr="00487553">
        <w:rPr>
          <w:rFonts w:asciiTheme="minorEastAsia" w:eastAsiaTheme="minorEastAsia" w:hAnsiTheme="minorEastAsia"/>
        </w:rPr>
        <w:t>基金份额</w:t>
      </w:r>
      <w:r w:rsidRPr="00487553">
        <w:rPr>
          <w:rFonts w:asciiTheme="minorEastAsia" w:eastAsiaTheme="minorEastAsia" w:hAnsiTheme="minorEastAsia" w:hint="eastAsia"/>
        </w:rPr>
        <w:t>、</w:t>
      </w:r>
      <w:r w:rsidRPr="00487553">
        <w:rPr>
          <w:rFonts w:asciiTheme="minorEastAsia" w:eastAsiaTheme="minorEastAsia" w:hAnsiTheme="minorEastAsia"/>
        </w:rPr>
        <w:t>A类</w:t>
      </w:r>
      <w:r w:rsidRPr="00487553">
        <w:rPr>
          <w:rFonts w:asciiTheme="minorEastAsia" w:eastAsiaTheme="minorEastAsia" w:hAnsiTheme="minorEastAsia" w:hint="eastAsia"/>
        </w:rPr>
        <w:t>美元现汇基金份额、</w:t>
      </w:r>
      <w:r w:rsidRPr="00487553">
        <w:rPr>
          <w:rFonts w:asciiTheme="minorEastAsia" w:eastAsiaTheme="minorEastAsia" w:hAnsiTheme="minorEastAsia"/>
          <w:szCs w:val="21"/>
        </w:rPr>
        <w:t>A类</w:t>
      </w:r>
      <w:r w:rsidRPr="00487553">
        <w:rPr>
          <w:rFonts w:asciiTheme="minorEastAsia" w:eastAsiaTheme="minorEastAsia" w:hAnsiTheme="minorEastAsia" w:hint="eastAsia"/>
          <w:szCs w:val="21"/>
        </w:rPr>
        <w:t>美元现汇基金份额</w:t>
      </w:r>
    </w:p>
    <w:p w14:paraId="34E4A211" w14:textId="77777777" w:rsidR="000E05D7" w:rsidRPr="00487553" w:rsidRDefault="000E05D7" w:rsidP="00B01706">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本基金对通过本公司直销中心申购</w:t>
      </w:r>
      <w:r w:rsidR="00B00237" w:rsidRPr="00487553">
        <w:rPr>
          <w:rFonts w:asciiTheme="minorEastAsia" w:eastAsiaTheme="minorEastAsia" w:hAnsiTheme="minorEastAsia"/>
          <w:szCs w:val="21"/>
        </w:rPr>
        <w:t>A类</w:t>
      </w:r>
      <w:r w:rsidR="00B00237" w:rsidRPr="00487553">
        <w:rPr>
          <w:rFonts w:asciiTheme="minorEastAsia" w:eastAsiaTheme="minorEastAsia" w:hAnsiTheme="minorEastAsia" w:hint="eastAsia"/>
          <w:szCs w:val="21"/>
        </w:rPr>
        <w:t>基金份额</w:t>
      </w:r>
      <w:r w:rsidRPr="00487553">
        <w:rPr>
          <w:rFonts w:asciiTheme="minorEastAsia" w:eastAsiaTheme="minorEastAsia" w:hAnsiTheme="minorEastAsia" w:hint="eastAsia"/>
          <w:szCs w:val="21"/>
        </w:rPr>
        <w:t>的特定投资群体与除此之外的其他投资者实施差别的申购费率。</w:t>
      </w:r>
    </w:p>
    <w:p w14:paraId="422A470F" w14:textId="48D93C21" w:rsidR="000E05D7" w:rsidRPr="00487553" w:rsidRDefault="000E05D7" w:rsidP="00D94E68">
      <w:pPr>
        <w:autoSpaceDE w:val="0"/>
        <w:autoSpaceDN w:val="0"/>
        <w:snapToGrid w:val="0"/>
        <w:spacing w:line="360" w:lineRule="auto"/>
        <w:ind w:firstLineChars="150" w:firstLine="315"/>
        <w:jc w:val="center"/>
        <w:textAlignment w:val="bottom"/>
        <w:rPr>
          <w:rFonts w:asciiTheme="minorEastAsia" w:eastAsiaTheme="minorEastAsia" w:hAnsiTheme="minorEastAsia"/>
        </w:rPr>
      </w:pPr>
      <w:r w:rsidRPr="00487553">
        <w:rPr>
          <w:rFonts w:asciiTheme="minorEastAsia" w:eastAsiaTheme="minorEastAsia" w:hAnsiTheme="minorEastAsia" w:hint="eastAsia"/>
        </w:rPr>
        <w:t>特定投资群体指全国社会保障基金、依法设立的基本养老保险基金、依法制定的企业</w:t>
      </w:r>
    </w:p>
    <w:p w14:paraId="6AF4DEF7" w14:textId="77777777" w:rsidR="000E05D7" w:rsidRPr="00487553" w:rsidRDefault="000E05D7" w:rsidP="00D94E68">
      <w:pPr>
        <w:autoSpaceDE w:val="0"/>
        <w:autoSpaceDN w:val="0"/>
        <w:snapToGrid w:val="0"/>
        <w:spacing w:line="360" w:lineRule="auto"/>
        <w:textAlignment w:val="bottom"/>
        <w:rPr>
          <w:rFonts w:asciiTheme="minorEastAsia" w:eastAsiaTheme="minorEastAsia" w:hAnsiTheme="minorEastAsia"/>
        </w:rPr>
      </w:pPr>
      <w:r w:rsidRPr="00487553">
        <w:rPr>
          <w:rFonts w:asciiTheme="minorEastAsia" w:eastAsiaTheme="minorEastAsia" w:hAnsiTheme="minorEastAsia" w:hint="eastAsia"/>
        </w:rPr>
        <w:t>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14:paraId="4F1AA5BC" w14:textId="77777777" w:rsidR="000E05D7" w:rsidRPr="00487553" w:rsidRDefault="000E05D7" w:rsidP="00B0320A">
      <w:pPr>
        <w:autoSpaceDE w:val="0"/>
        <w:autoSpaceDN w:val="0"/>
        <w:snapToGrid w:val="0"/>
        <w:spacing w:line="360" w:lineRule="auto"/>
        <w:ind w:firstLineChars="150" w:firstLine="315"/>
        <w:jc w:val="left"/>
        <w:textAlignment w:val="bottom"/>
        <w:rPr>
          <w:rFonts w:asciiTheme="minorEastAsia" w:eastAsiaTheme="minorEastAsia" w:hAnsiTheme="minorEastAsia"/>
        </w:rPr>
      </w:pPr>
      <w:r w:rsidRPr="00487553">
        <w:rPr>
          <w:rFonts w:asciiTheme="minorEastAsia" w:eastAsiaTheme="minorEastAsia" w:hAnsiTheme="minorEastAsia" w:hint="eastAsia"/>
        </w:rPr>
        <w:t>通过基金管理人的直销中心以人民币申购本基金</w:t>
      </w:r>
      <w:r w:rsidR="009058F8" w:rsidRPr="00487553">
        <w:rPr>
          <w:rFonts w:asciiTheme="minorEastAsia" w:eastAsiaTheme="minorEastAsia" w:hAnsiTheme="minorEastAsia"/>
        </w:rPr>
        <w:t>A类</w:t>
      </w:r>
      <w:r w:rsidR="009058F8" w:rsidRPr="00487553">
        <w:rPr>
          <w:rFonts w:asciiTheme="minorEastAsia" w:eastAsiaTheme="minorEastAsia" w:hAnsiTheme="minorEastAsia" w:hint="eastAsia"/>
        </w:rPr>
        <w:t>人民币</w:t>
      </w:r>
      <w:r w:rsidR="009058F8" w:rsidRPr="00487553">
        <w:rPr>
          <w:rFonts w:asciiTheme="minorEastAsia" w:eastAsiaTheme="minorEastAsia" w:hAnsiTheme="minorEastAsia"/>
        </w:rPr>
        <w:t>基金份额</w:t>
      </w:r>
      <w:r w:rsidRPr="00487553">
        <w:rPr>
          <w:rFonts w:asciiTheme="minorEastAsia" w:eastAsiaTheme="minorEastAsia" w:hAnsiTheme="minorEastAsia" w:hint="eastAsia"/>
        </w:rPr>
        <w:t>的特定投资群体申购费率见下表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297"/>
      </w:tblGrid>
      <w:tr w:rsidR="0008306D" w:rsidRPr="00487553" w14:paraId="300723CE"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4C550ED0"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申购金额M（人民币元）（含申购费）</w:t>
            </w:r>
          </w:p>
        </w:tc>
        <w:tc>
          <w:tcPr>
            <w:tcW w:w="3297" w:type="dxa"/>
            <w:tcBorders>
              <w:top w:val="single" w:sz="4" w:space="0" w:color="auto"/>
              <w:left w:val="single" w:sz="4" w:space="0" w:color="auto"/>
              <w:bottom w:val="single" w:sz="4" w:space="0" w:color="auto"/>
              <w:right w:val="single" w:sz="4" w:space="0" w:color="auto"/>
            </w:tcBorders>
          </w:tcPr>
          <w:p w14:paraId="76262284"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申购费率</w:t>
            </w:r>
          </w:p>
        </w:tc>
      </w:tr>
      <w:tr w:rsidR="0008306D" w:rsidRPr="00487553" w14:paraId="16CD74BC"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1CF5676F"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0D8DDFC0"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0.12%</w:t>
            </w:r>
          </w:p>
        </w:tc>
      </w:tr>
      <w:tr w:rsidR="0008306D" w:rsidRPr="00487553" w14:paraId="233CA475"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63041BAC"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＜2</w:t>
            </w:r>
            <w:r w:rsidRPr="00487553">
              <w:rPr>
                <w:rFonts w:asciiTheme="minorEastAsia" w:eastAsiaTheme="minorEastAsia" w:hAnsiTheme="minorEastAsia"/>
                <w:sz w:val="20"/>
                <w:szCs w:val="20"/>
              </w:rPr>
              <w:t>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2FA68B59"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0.08%</w:t>
            </w:r>
          </w:p>
        </w:tc>
      </w:tr>
      <w:tr w:rsidR="0008306D" w:rsidRPr="00487553" w14:paraId="08DA3A78"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687DEF26"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200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500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424C6C0E" w14:textId="77777777" w:rsidR="000E05D7" w:rsidRPr="00487553" w:rsidRDefault="000E05D7" w:rsidP="00D94E68">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sz w:val="20"/>
                <w:szCs w:val="20"/>
              </w:rPr>
              <w:t>0.05%</w:t>
            </w:r>
          </w:p>
        </w:tc>
      </w:tr>
      <w:tr w:rsidR="0008306D" w:rsidRPr="00487553" w14:paraId="3C588D75"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3701B7DB"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500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57F7111E"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1,000</w:t>
            </w:r>
            <w:r w:rsidRPr="00487553">
              <w:rPr>
                <w:rFonts w:asciiTheme="minorEastAsia" w:eastAsiaTheme="minorEastAsia" w:hAnsiTheme="minorEastAsia" w:hint="eastAsia"/>
                <w:sz w:val="20"/>
                <w:szCs w:val="20"/>
              </w:rPr>
              <w:t>元</w:t>
            </w:r>
            <w:r w:rsidRPr="00487553">
              <w:rPr>
                <w:rFonts w:asciiTheme="minorEastAsia" w:eastAsiaTheme="minorEastAsia" w:hAnsiTheme="minorEastAsia"/>
                <w:sz w:val="20"/>
                <w:szCs w:val="20"/>
              </w:rPr>
              <w:t>/</w:t>
            </w:r>
            <w:r w:rsidRPr="00487553">
              <w:rPr>
                <w:rFonts w:asciiTheme="minorEastAsia" w:eastAsiaTheme="minorEastAsia" w:hAnsiTheme="minorEastAsia" w:hint="eastAsia"/>
                <w:sz w:val="20"/>
                <w:szCs w:val="20"/>
              </w:rPr>
              <w:t>笔</w:t>
            </w:r>
          </w:p>
        </w:tc>
      </w:tr>
    </w:tbl>
    <w:p w14:paraId="2C378803" w14:textId="77777777" w:rsidR="000E05D7" w:rsidRPr="00487553" w:rsidRDefault="000E05D7" w:rsidP="00FF2252">
      <w:pPr>
        <w:autoSpaceDE w:val="0"/>
        <w:autoSpaceDN w:val="0"/>
        <w:snapToGrid w:val="0"/>
        <w:spacing w:line="360" w:lineRule="auto"/>
        <w:ind w:firstLineChars="150" w:firstLine="315"/>
        <w:jc w:val="left"/>
        <w:textAlignment w:val="bottom"/>
        <w:rPr>
          <w:rFonts w:asciiTheme="minorEastAsia" w:eastAsiaTheme="minorEastAsia" w:hAnsiTheme="minorEastAsia"/>
        </w:rPr>
      </w:pPr>
      <w:r w:rsidRPr="00487553">
        <w:rPr>
          <w:rFonts w:asciiTheme="minorEastAsia" w:eastAsiaTheme="minorEastAsia" w:hAnsiTheme="minorEastAsia" w:hint="eastAsia"/>
        </w:rPr>
        <w:t>通过基金管理人的直销中心以</w:t>
      </w:r>
      <w:r w:rsidRPr="00487553">
        <w:rPr>
          <w:rFonts w:asciiTheme="minorEastAsia" w:eastAsiaTheme="minorEastAsia" w:hAnsiTheme="minorEastAsia" w:hint="eastAsia"/>
          <w:szCs w:val="21"/>
        </w:rPr>
        <w:t>美元现汇</w:t>
      </w:r>
      <w:r w:rsidRPr="00487553">
        <w:rPr>
          <w:rFonts w:asciiTheme="minorEastAsia" w:eastAsiaTheme="minorEastAsia" w:hAnsiTheme="minorEastAsia" w:hint="eastAsia"/>
        </w:rPr>
        <w:t>申购本基金</w:t>
      </w:r>
      <w:r w:rsidR="009058F8" w:rsidRPr="00487553">
        <w:rPr>
          <w:rFonts w:asciiTheme="minorEastAsia" w:eastAsiaTheme="minorEastAsia" w:hAnsiTheme="minorEastAsia"/>
        </w:rPr>
        <w:t>A类</w:t>
      </w:r>
      <w:r w:rsidR="009058F8" w:rsidRPr="00487553">
        <w:rPr>
          <w:rFonts w:asciiTheme="minorEastAsia" w:eastAsiaTheme="minorEastAsia" w:hAnsiTheme="minorEastAsia" w:hint="eastAsia"/>
        </w:rPr>
        <w:t>美元现汇基金份额</w:t>
      </w:r>
      <w:r w:rsidRPr="00487553">
        <w:rPr>
          <w:rFonts w:asciiTheme="minorEastAsia" w:eastAsiaTheme="minorEastAsia" w:hAnsiTheme="minorEastAsia" w:hint="eastAsia"/>
        </w:rPr>
        <w:t>的特定投资群体申购费率见下表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297"/>
      </w:tblGrid>
      <w:tr w:rsidR="0008306D" w:rsidRPr="00487553" w14:paraId="7B3F3000"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6969B201"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申购金额M（美元）（含申购费）</w:t>
            </w:r>
          </w:p>
        </w:tc>
        <w:tc>
          <w:tcPr>
            <w:tcW w:w="3297" w:type="dxa"/>
            <w:tcBorders>
              <w:top w:val="single" w:sz="4" w:space="0" w:color="auto"/>
              <w:left w:val="single" w:sz="4" w:space="0" w:color="auto"/>
              <w:bottom w:val="single" w:sz="4" w:space="0" w:color="auto"/>
              <w:right w:val="single" w:sz="4" w:space="0" w:color="auto"/>
            </w:tcBorders>
          </w:tcPr>
          <w:p w14:paraId="16DEC52E"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申购费率</w:t>
            </w:r>
          </w:p>
        </w:tc>
      </w:tr>
      <w:tr w:rsidR="0008306D" w:rsidRPr="00487553" w14:paraId="7549EBDB"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42217C57"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20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19ABF7B0"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0.12%</w:t>
            </w:r>
          </w:p>
        </w:tc>
      </w:tr>
      <w:tr w:rsidR="0008306D" w:rsidRPr="00487553" w14:paraId="7369133A"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2FEA375B"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20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＜4</w:t>
            </w: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475A6F35"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0.08%</w:t>
            </w:r>
          </w:p>
        </w:tc>
      </w:tr>
      <w:tr w:rsidR="0008306D" w:rsidRPr="00487553" w14:paraId="464F048A"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21138325"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40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049AEBA6" w14:textId="77777777" w:rsidR="000E05D7" w:rsidRPr="00487553" w:rsidRDefault="000E05D7" w:rsidP="00D94E68">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sz w:val="20"/>
                <w:szCs w:val="20"/>
              </w:rPr>
              <w:t>0.05%</w:t>
            </w:r>
          </w:p>
        </w:tc>
      </w:tr>
      <w:tr w:rsidR="0008306D" w:rsidRPr="00487553" w14:paraId="6BE2798F" w14:textId="77777777" w:rsidTr="000E05D7">
        <w:trPr>
          <w:jc w:val="center"/>
        </w:trPr>
        <w:tc>
          <w:tcPr>
            <w:tcW w:w="3420" w:type="dxa"/>
            <w:tcBorders>
              <w:top w:val="single" w:sz="4" w:space="0" w:color="auto"/>
              <w:left w:val="single" w:sz="4" w:space="0" w:color="auto"/>
              <w:bottom w:val="single" w:sz="4" w:space="0" w:color="auto"/>
              <w:right w:val="single" w:sz="4" w:space="0" w:color="auto"/>
            </w:tcBorders>
          </w:tcPr>
          <w:p w14:paraId="606DF5AD"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p>
        </w:tc>
        <w:tc>
          <w:tcPr>
            <w:tcW w:w="3297" w:type="dxa"/>
            <w:tcBorders>
              <w:top w:val="single" w:sz="4" w:space="0" w:color="auto"/>
              <w:left w:val="single" w:sz="4" w:space="0" w:color="auto"/>
              <w:bottom w:val="single" w:sz="4" w:space="0" w:color="auto"/>
              <w:right w:val="single" w:sz="4" w:space="0" w:color="auto"/>
            </w:tcBorders>
          </w:tcPr>
          <w:p w14:paraId="7576DBFD" w14:textId="77777777" w:rsidR="000E05D7" w:rsidRPr="00487553" w:rsidRDefault="000E05D7"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200</w:t>
            </w:r>
            <w:r w:rsidRPr="00487553">
              <w:rPr>
                <w:rFonts w:asciiTheme="minorEastAsia" w:eastAsiaTheme="minorEastAsia" w:hAnsiTheme="minorEastAsia" w:hint="eastAsia"/>
                <w:sz w:val="20"/>
                <w:szCs w:val="20"/>
              </w:rPr>
              <w:t>美元</w:t>
            </w:r>
            <w:r w:rsidRPr="00487553">
              <w:rPr>
                <w:rFonts w:asciiTheme="minorEastAsia" w:eastAsiaTheme="minorEastAsia" w:hAnsiTheme="minorEastAsia"/>
                <w:sz w:val="20"/>
                <w:szCs w:val="20"/>
              </w:rPr>
              <w:t>/</w:t>
            </w:r>
            <w:r w:rsidRPr="00487553">
              <w:rPr>
                <w:rFonts w:asciiTheme="minorEastAsia" w:eastAsiaTheme="minorEastAsia" w:hAnsiTheme="minorEastAsia" w:hint="eastAsia"/>
                <w:sz w:val="20"/>
                <w:szCs w:val="20"/>
              </w:rPr>
              <w:t>笔</w:t>
            </w:r>
          </w:p>
        </w:tc>
      </w:tr>
    </w:tbl>
    <w:p w14:paraId="6A5E5E81" w14:textId="77777777" w:rsidR="00921856" w:rsidRPr="00487553" w:rsidRDefault="000E05D7" w:rsidP="00D94E68">
      <w:pPr>
        <w:pStyle w:val="ab"/>
        <w:snapToGrid w:val="0"/>
        <w:spacing w:after="0"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其他</w:t>
      </w:r>
      <w:r w:rsidR="00E61B3D" w:rsidRPr="00487553">
        <w:rPr>
          <w:rFonts w:asciiTheme="minorEastAsia" w:eastAsiaTheme="minorEastAsia" w:hAnsiTheme="minorEastAsia" w:hint="eastAsia"/>
          <w:szCs w:val="21"/>
        </w:rPr>
        <w:t>投资者</w:t>
      </w:r>
      <w:r w:rsidR="00CF2D5C" w:rsidRPr="00487553">
        <w:rPr>
          <w:rFonts w:asciiTheme="minorEastAsia" w:eastAsiaTheme="minorEastAsia" w:hAnsiTheme="minorEastAsia" w:hint="eastAsia"/>
          <w:szCs w:val="21"/>
        </w:rPr>
        <w:t>以人民币</w:t>
      </w:r>
      <w:r w:rsidR="00E61B3D" w:rsidRPr="00487553">
        <w:rPr>
          <w:rFonts w:asciiTheme="minorEastAsia" w:eastAsiaTheme="minorEastAsia" w:hAnsiTheme="minorEastAsia" w:hint="eastAsia"/>
          <w:szCs w:val="21"/>
        </w:rPr>
        <w:t>申购本基金</w:t>
      </w:r>
      <w:r w:rsidR="009058F8" w:rsidRPr="00487553">
        <w:rPr>
          <w:rFonts w:asciiTheme="minorEastAsia" w:eastAsiaTheme="minorEastAsia" w:hAnsiTheme="minorEastAsia" w:hint="eastAsia"/>
        </w:rPr>
        <w:t>A</w:t>
      </w:r>
      <w:r w:rsidR="009058F8" w:rsidRPr="00487553">
        <w:rPr>
          <w:rFonts w:asciiTheme="minorEastAsia" w:eastAsiaTheme="minorEastAsia" w:hAnsiTheme="minorEastAsia"/>
        </w:rPr>
        <w:t>类</w:t>
      </w:r>
      <w:r w:rsidR="009058F8" w:rsidRPr="00487553">
        <w:rPr>
          <w:rFonts w:asciiTheme="minorEastAsia" w:eastAsiaTheme="minorEastAsia" w:hAnsiTheme="minorEastAsia" w:hint="eastAsia"/>
        </w:rPr>
        <w:t>人民币</w:t>
      </w:r>
      <w:r w:rsidR="009058F8" w:rsidRPr="00487553">
        <w:rPr>
          <w:rFonts w:asciiTheme="minorEastAsia" w:eastAsiaTheme="minorEastAsia" w:hAnsiTheme="minorEastAsia"/>
        </w:rPr>
        <w:t>基金份额</w:t>
      </w:r>
      <w:r w:rsidR="00E61B3D" w:rsidRPr="00487553">
        <w:rPr>
          <w:rFonts w:asciiTheme="minorEastAsia" w:eastAsiaTheme="minorEastAsia" w:hAnsiTheme="minorEastAsia" w:hint="eastAsia"/>
          <w:szCs w:val="21"/>
        </w:rPr>
        <w:t>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297"/>
      </w:tblGrid>
      <w:tr w:rsidR="0008306D" w:rsidRPr="00487553" w14:paraId="566BA0AE" w14:textId="77777777" w:rsidTr="000E05D7">
        <w:trPr>
          <w:jc w:val="center"/>
        </w:trPr>
        <w:tc>
          <w:tcPr>
            <w:tcW w:w="3420" w:type="dxa"/>
          </w:tcPr>
          <w:p w14:paraId="415C68EF"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申购金额M（</w:t>
            </w:r>
            <w:r w:rsidR="007D094E" w:rsidRPr="00487553">
              <w:rPr>
                <w:rFonts w:asciiTheme="minorEastAsia" w:eastAsiaTheme="minorEastAsia" w:hAnsiTheme="minorEastAsia" w:hint="eastAsia"/>
                <w:b/>
                <w:bCs/>
                <w:sz w:val="20"/>
                <w:szCs w:val="20"/>
              </w:rPr>
              <w:t>人民币</w:t>
            </w:r>
            <w:r w:rsidR="00AC3D80" w:rsidRPr="00487553">
              <w:rPr>
                <w:rFonts w:asciiTheme="minorEastAsia" w:eastAsiaTheme="minorEastAsia" w:hAnsiTheme="minorEastAsia" w:hint="eastAsia"/>
                <w:b/>
                <w:bCs/>
                <w:sz w:val="20"/>
                <w:szCs w:val="20"/>
              </w:rPr>
              <w:t>元</w:t>
            </w:r>
            <w:r w:rsidRPr="00487553">
              <w:rPr>
                <w:rFonts w:asciiTheme="minorEastAsia" w:eastAsiaTheme="minorEastAsia" w:hAnsiTheme="minorEastAsia" w:hint="eastAsia"/>
                <w:b/>
                <w:bCs/>
                <w:sz w:val="20"/>
                <w:szCs w:val="20"/>
              </w:rPr>
              <w:t>）（含申购费）</w:t>
            </w:r>
          </w:p>
        </w:tc>
        <w:tc>
          <w:tcPr>
            <w:tcW w:w="3297" w:type="dxa"/>
          </w:tcPr>
          <w:p w14:paraId="11326C26"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申购费率</w:t>
            </w:r>
          </w:p>
        </w:tc>
      </w:tr>
      <w:tr w:rsidR="0008306D" w:rsidRPr="00487553" w14:paraId="503D2075" w14:textId="77777777" w:rsidTr="000E05D7">
        <w:trPr>
          <w:jc w:val="center"/>
        </w:trPr>
        <w:tc>
          <w:tcPr>
            <w:tcW w:w="3420" w:type="dxa"/>
          </w:tcPr>
          <w:p w14:paraId="7A0019DC"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p>
        </w:tc>
        <w:tc>
          <w:tcPr>
            <w:tcW w:w="3297" w:type="dxa"/>
          </w:tcPr>
          <w:p w14:paraId="70ED0747"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1.2%</w:t>
            </w:r>
          </w:p>
        </w:tc>
      </w:tr>
      <w:tr w:rsidR="0008306D" w:rsidRPr="00487553" w14:paraId="52B50122" w14:textId="77777777" w:rsidTr="000E05D7">
        <w:trPr>
          <w:jc w:val="center"/>
        </w:trPr>
        <w:tc>
          <w:tcPr>
            <w:tcW w:w="3420" w:type="dxa"/>
          </w:tcPr>
          <w:p w14:paraId="54131779"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100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＜2</w:t>
            </w:r>
            <w:r w:rsidRPr="00487553">
              <w:rPr>
                <w:rFonts w:asciiTheme="minorEastAsia" w:eastAsiaTheme="minorEastAsia" w:hAnsiTheme="minorEastAsia"/>
                <w:sz w:val="20"/>
                <w:szCs w:val="20"/>
              </w:rPr>
              <w:t>00</w:t>
            </w:r>
            <w:r w:rsidRPr="00487553">
              <w:rPr>
                <w:rFonts w:asciiTheme="minorEastAsia" w:eastAsiaTheme="minorEastAsia" w:hAnsiTheme="minorEastAsia" w:hint="eastAsia"/>
                <w:sz w:val="20"/>
                <w:szCs w:val="20"/>
              </w:rPr>
              <w:t>万</w:t>
            </w:r>
          </w:p>
        </w:tc>
        <w:tc>
          <w:tcPr>
            <w:tcW w:w="3297" w:type="dxa"/>
          </w:tcPr>
          <w:p w14:paraId="7B78572B"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0.8%</w:t>
            </w:r>
          </w:p>
        </w:tc>
      </w:tr>
      <w:tr w:rsidR="0008306D" w:rsidRPr="00487553" w14:paraId="4769DDFB" w14:textId="77777777" w:rsidTr="000E05D7">
        <w:trPr>
          <w:jc w:val="center"/>
        </w:trPr>
        <w:tc>
          <w:tcPr>
            <w:tcW w:w="3420" w:type="dxa"/>
          </w:tcPr>
          <w:p w14:paraId="04F96094"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200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500</w:t>
            </w:r>
            <w:r w:rsidRPr="00487553">
              <w:rPr>
                <w:rFonts w:asciiTheme="minorEastAsia" w:eastAsiaTheme="minorEastAsia" w:hAnsiTheme="minorEastAsia" w:hint="eastAsia"/>
                <w:sz w:val="20"/>
                <w:szCs w:val="20"/>
              </w:rPr>
              <w:t>万</w:t>
            </w:r>
          </w:p>
        </w:tc>
        <w:tc>
          <w:tcPr>
            <w:tcW w:w="3297" w:type="dxa"/>
          </w:tcPr>
          <w:p w14:paraId="6DFABE77" w14:textId="77777777" w:rsidR="00F27E41" w:rsidRPr="00487553" w:rsidRDefault="00F27E41" w:rsidP="00D94E68">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sz w:val="20"/>
                <w:szCs w:val="20"/>
              </w:rPr>
              <w:t>0.5%</w:t>
            </w:r>
          </w:p>
        </w:tc>
      </w:tr>
      <w:tr w:rsidR="0008306D" w:rsidRPr="00487553" w14:paraId="5D934D8D" w14:textId="77777777" w:rsidTr="000E05D7">
        <w:trPr>
          <w:jc w:val="center"/>
        </w:trPr>
        <w:tc>
          <w:tcPr>
            <w:tcW w:w="3420" w:type="dxa"/>
          </w:tcPr>
          <w:p w14:paraId="4375BEAD"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500</w:t>
            </w:r>
            <w:r w:rsidRPr="00487553">
              <w:rPr>
                <w:rFonts w:asciiTheme="minorEastAsia" w:eastAsiaTheme="minorEastAsia" w:hAnsiTheme="minorEastAsia" w:hint="eastAsia"/>
                <w:sz w:val="20"/>
                <w:szCs w:val="20"/>
              </w:rPr>
              <w:t>万</w:t>
            </w:r>
          </w:p>
        </w:tc>
        <w:tc>
          <w:tcPr>
            <w:tcW w:w="3297" w:type="dxa"/>
          </w:tcPr>
          <w:p w14:paraId="1720BA2F" w14:textId="77777777"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w:t>
            </w:r>
            <w:r w:rsidR="00CC0DA7" w:rsidRPr="00487553">
              <w:rPr>
                <w:rFonts w:asciiTheme="minorEastAsia" w:eastAsiaTheme="minorEastAsia" w:hAnsiTheme="minorEastAsia" w:hint="eastAsia"/>
                <w:sz w:val="20"/>
                <w:szCs w:val="20"/>
              </w:rPr>
              <w:t>,</w:t>
            </w:r>
            <w:r w:rsidRPr="00487553">
              <w:rPr>
                <w:rFonts w:asciiTheme="minorEastAsia" w:eastAsiaTheme="minorEastAsia" w:hAnsiTheme="minorEastAsia"/>
                <w:sz w:val="20"/>
                <w:szCs w:val="20"/>
              </w:rPr>
              <w:t>000</w:t>
            </w:r>
            <w:r w:rsidRPr="00487553">
              <w:rPr>
                <w:rFonts w:asciiTheme="minorEastAsia" w:eastAsiaTheme="minorEastAsia" w:hAnsiTheme="minorEastAsia" w:hint="eastAsia"/>
                <w:sz w:val="20"/>
                <w:szCs w:val="20"/>
              </w:rPr>
              <w:t>元</w:t>
            </w:r>
            <w:r w:rsidRPr="00487553">
              <w:rPr>
                <w:rFonts w:asciiTheme="minorEastAsia" w:eastAsiaTheme="minorEastAsia" w:hAnsiTheme="minorEastAsia"/>
                <w:sz w:val="20"/>
                <w:szCs w:val="20"/>
              </w:rPr>
              <w:t>/</w:t>
            </w:r>
            <w:r w:rsidRPr="00487553">
              <w:rPr>
                <w:rFonts w:asciiTheme="minorEastAsia" w:eastAsiaTheme="minorEastAsia" w:hAnsiTheme="minorEastAsia" w:hint="eastAsia"/>
                <w:sz w:val="20"/>
                <w:szCs w:val="20"/>
              </w:rPr>
              <w:t>笔</w:t>
            </w:r>
          </w:p>
        </w:tc>
      </w:tr>
    </w:tbl>
    <w:p w14:paraId="77130811" w14:textId="77777777" w:rsidR="00CF2D5C" w:rsidRPr="00487553" w:rsidRDefault="000E05D7" w:rsidP="00D94E68">
      <w:pPr>
        <w:pStyle w:val="ab"/>
        <w:snapToGrid w:val="0"/>
        <w:spacing w:after="0" w:line="360" w:lineRule="auto"/>
        <w:ind w:firstLineChars="200" w:firstLine="420"/>
        <w:jc w:val="left"/>
        <w:rPr>
          <w:rFonts w:asciiTheme="minorEastAsia" w:eastAsiaTheme="minorEastAsia" w:hAnsiTheme="minorEastAsia"/>
          <w:szCs w:val="21"/>
        </w:rPr>
      </w:pPr>
      <w:r w:rsidRPr="00487553">
        <w:rPr>
          <w:rFonts w:asciiTheme="minorEastAsia" w:eastAsiaTheme="minorEastAsia" w:hAnsiTheme="minorEastAsia" w:hint="eastAsia"/>
          <w:szCs w:val="21"/>
        </w:rPr>
        <w:t>其他</w:t>
      </w:r>
      <w:r w:rsidR="00CF2D5C" w:rsidRPr="00487553">
        <w:rPr>
          <w:rFonts w:asciiTheme="minorEastAsia" w:eastAsiaTheme="minorEastAsia" w:hAnsiTheme="minorEastAsia" w:hint="eastAsia"/>
          <w:szCs w:val="21"/>
        </w:rPr>
        <w:t>投资者以美元现钞或美元现汇申购本基金</w:t>
      </w:r>
      <w:r w:rsidR="009058F8" w:rsidRPr="00487553">
        <w:rPr>
          <w:rFonts w:asciiTheme="minorEastAsia" w:eastAsiaTheme="minorEastAsia" w:hAnsiTheme="minorEastAsia"/>
          <w:szCs w:val="21"/>
        </w:rPr>
        <w:t>A类</w:t>
      </w:r>
      <w:r w:rsidR="009058F8" w:rsidRPr="00487553">
        <w:rPr>
          <w:rFonts w:asciiTheme="minorEastAsia" w:eastAsiaTheme="minorEastAsia" w:hAnsiTheme="minorEastAsia" w:hint="eastAsia"/>
          <w:szCs w:val="21"/>
        </w:rPr>
        <w:t>美元现钞基金份额或</w:t>
      </w:r>
      <w:r w:rsidR="009058F8" w:rsidRPr="00487553">
        <w:rPr>
          <w:rFonts w:asciiTheme="minorEastAsia" w:eastAsiaTheme="minorEastAsia" w:hAnsiTheme="minorEastAsia"/>
          <w:szCs w:val="21"/>
        </w:rPr>
        <w:t>A类</w:t>
      </w:r>
      <w:r w:rsidR="009058F8" w:rsidRPr="00487553">
        <w:rPr>
          <w:rFonts w:asciiTheme="minorEastAsia" w:eastAsiaTheme="minorEastAsia" w:hAnsiTheme="minorEastAsia" w:hint="eastAsia"/>
          <w:szCs w:val="21"/>
        </w:rPr>
        <w:t>美元现汇</w:t>
      </w:r>
      <w:r w:rsidR="009058F8" w:rsidRPr="00487553">
        <w:rPr>
          <w:rFonts w:asciiTheme="minorEastAsia" w:eastAsiaTheme="minorEastAsia" w:hAnsiTheme="minorEastAsia" w:hint="eastAsia"/>
          <w:szCs w:val="21"/>
        </w:rPr>
        <w:lastRenderedPageBreak/>
        <w:t>基金份额</w:t>
      </w:r>
      <w:r w:rsidR="00CF2D5C" w:rsidRPr="00487553">
        <w:rPr>
          <w:rFonts w:asciiTheme="minorEastAsia" w:eastAsiaTheme="minorEastAsia" w:hAnsiTheme="minorEastAsia" w:hint="eastAsia"/>
          <w:szCs w:val="21"/>
        </w:rPr>
        <w:t>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297"/>
      </w:tblGrid>
      <w:tr w:rsidR="0008306D" w:rsidRPr="00487553" w14:paraId="520305EC" w14:textId="77777777" w:rsidTr="000E05D7">
        <w:trPr>
          <w:jc w:val="center"/>
        </w:trPr>
        <w:tc>
          <w:tcPr>
            <w:tcW w:w="3420" w:type="dxa"/>
          </w:tcPr>
          <w:p w14:paraId="302958F5"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申购金额M（美元）（含申购费）</w:t>
            </w:r>
          </w:p>
        </w:tc>
        <w:tc>
          <w:tcPr>
            <w:tcW w:w="3297" w:type="dxa"/>
          </w:tcPr>
          <w:p w14:paraId="3D466E52"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申购费率</w:t>
            </w:r>
          </w:p>
        </w:tc>
      </w:tr>
      <w:tr w:rsidR="0008306D" w:rsidRPr="00487553" w14:paraId="248F1E6B" w14:textId="77777777" w:rsidTr="000E05D7">
        <w:trPr>
          <w:jc w:val="center"/>
        </w:trPr>
        <w:tc>
          <w:tcPr>
            <w:tcW w:w="3420" w:type="dxa"/>
          </w:tcPr>
          <w:p w14:paraId="5907092C"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＜2</w:t>
            </w: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万</w:t>
            </w:r>
          </w:p>
        </w:tc>
        <w:tc>
          <w:tcPr>
            <w:tcW w:w="3297" w:type="dxa"/>
          </w:tcPr>
          <w:p w14:paraId="7DF7C009"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1.2%</w:t>
            </w:r>
          </w:p>
        </w:tc>
      </w:tr>
      <w:tr w:rsidR="0008306D" w:rsidRPr="00487553" w14:paraId="4B8D5A3C" w14:textId="77777777" w:rsidTr="000E05D7">
        <w:trPr>
          <w:jc w:val="center"/>
        </w:trPr>
        <w:tc>
          <w:tcPr>
            <w:tcW w:w="3420" w:type="dxa"/>
          </w:tcPr>
          <w:p w14:paraId="218EC02C"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sz w:val="20"/>
                <w:szCs w:val="20"/>
              </w:rPr>
              <w:t>2</w:t>
            </w: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＜4</w:t>
            </w: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万</w:t>
            </w:r>
          </w:p>
        </w:tc>
        <w:tc>
          <w:tcPr>
            <w:tcW w:w="3297" w:type="dxa"/>
          </w:tcPr>
          <w:p w14:paraId="7C6F0E87"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0.8%</w:t>
            </w:r>
          </w:p>
        </w:tc>
      </w:tr>
      <w:tr w:rsidR="0008306D" w:rsidRPr="00487553" w14:paraId="1C620C0E" w14:textId="77777777" w:rsidTr="000E05D7">
        <w:trPr>
          <w:jc w:val="center"/>
        </w:trPr>
        <w:tc>
          <w:tcPr>
            <w:tcW w:w="3420" w:type="dxa"/>
          </w:tcPr>
          <w:p w14:paraId="08CBA01E"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sz w:val="20"/>
                <w:szCs w:val="20"/>
              </w:rPr>
              <w:t>4</w:t>
            </w: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万≤</w:t>
            </w: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＜1</w:t>
            </w:r>
            <w:r w:rsidRPr="00487553">
              <w:rPr>
                <w:rFonts w:asciiTheme="minorEastAsia" w:eastAsiaTheme="minorEastAsia" w:hAnsiTheme="minorEastAsia"/>
                <w:sz w:val="20"/>
                <w:szCs w:val="20"/>
              </w:rPr>
              <w:t>00</w:t>
            </w:r>
            <w:r w:rsidRPr="00487553">
              <w:rPr>
                <w:rFonts w:asciiTheme="minorEastAsia" w:eastAsiaTheme="minorEastAsia" w:hAnsiTheme="minorEastAsia" w:hint="eastAsia"/>
                <w:sz w:val="20"/>
                <w:szCs w:val="20"/>
              </w:rPr>
              <w:t>万</w:t>
            </w:r>
          </w:p>
        </w:tc>
        <w:tc>
          <w:tcPr>
            <w:tcW w:w="3297" w:type="dxa"/>
          </w:tcPr>
          <w:p w14:paraId="06CA5D18" w14:textId="77777777" w:rsidR="00CF2D5C" w:rsidRPr="00487553" w:rsidRDefault="00CF2D5C" w:rsidP="00D94E68">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sz w:val="20"/>
                <w:szCs w:val="20"/>
              </w:rPr>
              <w:t>0.5%</w:t>
            </w:r>
          </w:p>
        </w:tc>
      </w:tr>
      <w:tr w:rsidR="0008306D" w:rsidRPr="00487553" w14:paraId="427E7CEA" w14:textId="77777777" w:rsidTr="000E05D7">
        <w:trPr>
          <w:jc w:val="center"/>
        </w:trPr>
        <w:tc>
          <w:tcPr>
            <w:tcW w:w="3420" w:type="dxa"/>
          </w:tcPr>
          <w:p w14:paraId="7875409C"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M</w:t>
            </w:r>
            <w:r w:rsidRPr="00487553">
              <w:rPr>
                <w:rFonts w:asciiTheme="minorEastAsia" w:eastAsiaTheme="minorEastAsia" w:hAnsiTheme="minorEastAsia" w:hint="eastAsia"/>
                <w:sz w:val="20"/>
                <w:szCs w:val="20"/>
              </w:rPr>
              <w:t>≥1</w:t>
            </w:r>
            <w:r w:rsidRPr="00487553">
              <w:rPr>
                <w:rFonts w:asciiTheme="minorEastAsia" w:eastAsiaTheme="minorEastAsia" w:hAnsiTheme="minorEastAsia"/>
                <w:sz w:val="20"/>
                <w:szCs w:val="20"/>
              </w:rPr>
              <w:t>00</w:t>
            </w:r>
            <w:r w:rsidRPr="00487553">
              <w:rPr>
                <w:rFonts w:asciiTheme="minorEastAsia" w:eastAsiaTheme="minorEastAsia" w:hAnsiTheme="minorEastAsia" w:hint="eastAsia"/>
                <w:sz w:val="20"/>
                <w:szCs w:val="20"/>
              </w:rPr>
              <w:t>万</w:t>
            </w:r>
          </w:p>
        </w:tc>
        <w:tc>
          <w:tcPr>
            <w:tcW w:w="3297" w:type="dxa"/>
          </w:tcPr>
          <w:p w14:paraId="453CA479" w14:textId="77777777" w:rsidR="00CF2D5C" w:rsidRPr="00487553" w:rsidRDefault="00CF2D5C"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sz w:val="20"/>
                <w:szCs w:val="20"/>
              </w:rPr>
              <w:t>2</w:t>
            </w:r>
            <w:r w:rsidRPr="00487553">
              <w:rPr>
                <w:rFonts w:asciiTheme="minorEastAsia" w:eastAsiaTheme="minorEastAsia" w:hAnsiTheme="minorEastAsia"/>
                <w:sz w:val="20"/>
                <w:szCs w:val="20"/>
              </w:rPr>
              <w:t>00</w:t>
            </w:r>
            <w:r w:rsidRPr="00487553">
              <w:rPr>
                <w:rFonts w:asciiTheme="minorEastAsia" w:eastAsiaTheme="minorEastAsia" w:hAnsiTheme="minorEastAsia" w:hint="eastAsia"/>
                <w:sz w:val="20"/>
                <w:szCs w:val="20"/>
              </w:rPr>
              <w:t>美元</w:t>
            </w:r>
            <w:r w:rsidRPr="00487553">
              <w:rPr>
                <w:rFonts w:asciiTheme="minorEastAsia" w:eastAsiaTheme="minorEastAsia" w:hAnsiTheme="minorEastAsia"/>
                <w:sz w:val="20"/>
                <w:szCs w:val="20"/>
              </w:rPr>
              <w:t>/</w:t>
            </w:r>
            <w:r w:rsidRPr="00487553">
              <w:rPr>
                <w:rFonts w:asciiTheme="minorEastAsia" w:eastAsiaTheme="minorEastAsia" w:hAnsiTheme="minorEastAsia" w:hint="eastAsia"/>
                <w:sz w:val="20"/>
                <w:szCs w:val="20"/>
              </w:rPr>
              <w:t>笔</w:t>
            </w:r>
          </w:p>
        </w:tc>
      </w:tr>
    </w:tbl>
    <w:p w14:paraId="098AF760" w14:textId="77777777" w:rsidR="00F564CE" w:rsidRPr="00487553" w:rsidRDefault="00F564CE" w:rsidP="00D94E68">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在申购费按金额分档的情况下，如果投资者多次申购，申购费适用单笔申购金额所对应的费率。</w:t>
      </w:r>
    </w:p>
    <w:p w14:paraId="3340D39A" w14:textId="77777777" w:rsidR="00771104" w:rsidRPr="00487553" w:rsidRDefault="00771104">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（2）</w:t>
      </w:r>
      <w:r w:rsidRPr="00487553">
        <w:rPr>
          <w:rFonts w:asciiTheme="minorEastAsia" w:eastAsiaTheme="minorEastAsia" w:hAnsiTheme="minorEastAsia"/>
          <w:szCs w:val="21"/>
        </w:rPr>
        <w:t>C类基金份额</w:t>
      </w:r>
      <w:r w:rsidRPr="00487553">
        <w:rPr>
          <w:rFonts w:asciiTheme="minorEastAsia" w:eastAsiaTheme="minorEastAsia" w:hAnsiTheme="minorEastAsia" w:hint="eastAsia"/>
          <w:sz w:val="23"/>
          <w:szCs w:val="23"/>
        </w:rPr>
        <w:t>不收取申购费用。</w:t>
      </w:r>
    </w:p>
    <w:p w14:paraId="5902777C" w14:textId="77777777" w:rsidR="00F564CE" w:rsidRPr="00487553" w:rsidRDefault="00F564CE" w:rsidP="00D94E68">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2、本基金的赎回费率</w:t>
      </w:r>
    </w:p>
    <w:p w14:paraId="4EAEC742" w14:textId="50E4895E" w:rsidR="0064594E" w:rsidRPr="00487553" w:rsidRDefault="00566A99" w:rsidP="00D94E68">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w:t>
      </w:r>
      <w:r w:rsidR="009058F8" w:rsidRPr="00487553">
        <w:rPr>
          <w:rFonts w:asciiTheme="minorEastAsia" w:eastAsiaTheme="minorEastAsia" w:hAnsiTheme="minorEastAsia"/>
          <w:szCs w:val="21"/>
        </w:rPr>
        <w:t>A类</w:t>
      </w:r>
      <w:r w:rsidR="00DF4D73" w:rsidRPr="00487553">
        <w:rPr>
          <w:rFonts w:asciiTheme="minorEastAsia" w:eastAsiaTheme="minorEastAsia" w:hAnsiTheme="minorEastAsia" w:hint="eastAsia"/>
          <w:szCs w:val="21"/>
        </w:rPr>
        <w:t>人民币</w:t>
      </w:r>
      <w:r w:rsidR="00DF4D73" w:rsidRPr="00487553">
        <w:rPr>
          <w:rFonts w:asciiTheme="minorEastAsia" w:eastAsiaTheme="minorEastAsia" w:hAnsiTheme="minorEastAsia"/>
          <w:szCs w:val="21"/>
        </w:rPr>
        <w:t>基金份额</w:t>
      </w:r>
      <w:r w:rsidR="00DF4D73" w:rsidRPr="00487553">
        <w:rPr>
          <w:rFonts w:asciiTheme="minorEastAsia" w:eastAsiaTheme="minorEastAsia" w:hAnsiTheme="minorEastAsia" w:hint="eastAsia"/>
          <w:szCs w:val="21"/>
        </w:rPr>
        <w:t>、</w:t>
      </w:r>
      <w:r w:rsidR="009058F8" w:rsidRPr="00487553">
        <w:rPr>
          <w:rFonts w:asciiTheme="minorEastAsia" w:eastAsiaTheme="minorEastAsia" w:hAnsiTheme="minorEastAsia"/>
          <w:szCs w:val="21"/>
        </w:rPr>
        <w:t>A类</w:t>
      </w:r>
      <w:r w:rsidR="00DF4D73" w:rsidRPr="00487553">
        <w:rPr>
          <w:rFonts w:asciiTheme="minorEastAsia" w:eastAsiaTheme="minorEastAsia" w:hAnsiTheme="minorEastAsia" w:hint="eastAsia"/>
          <w:szCs w:val="21"/>
        </w:rPr>
        <w:t>美元现钞</w:t>
      </w:r>
      <w:r w:rsidR="00DF4D73" w:rsidRPr="00487553">
        <w:rPr>
          <w:rFonts w:asciiTheme="minorEastAsia" w:eastAsiaTheme="minorEastAsia" w:hAnsiTheme="minorEastAsia"/>
          <w:szCs w:val="21"/>
        </w:rPr>
        <w:t>基金份额</w:t>
      </w:r>
      <w:r w:rsidR="00DF4D73" w:rsidRPr="00487553">
        <w:rPr>
          <w:rFonts w:asciiTheme="minorEastAsia" w:eastAsiaTheme="minorEastAsia" w:hAnsiTheme="minorEastAsia" w:hint="eastAsia"/>
          <w:szCs w:val="21"/>
        </w:rPr>
        <w:t>和</w:t>
      </w:r>
      <w:r w:rsidR="009058F8" w:rsidRPr="00487553">
        <w:rPr>
          <w:rFonts w:asciiTheme="minorEastAsia" w:eastAsiaTheme="minorEastAsia" w:hAnsiTheme="minorEastAsia"/>
          <w:szCs w:val="21"/>
        </w:rPr>
        <w:t>A类</w:t>
      </w:r>
      <w:r w:rsidR="00DF4D73" w:rsidRPr="00487553">
        <w:rPr>
          <w:rFonts w:asciiTheme="minorEastAsia" w:eastAsiaTheme="minorEastAsia" w:hAnsiTheme="minorEastAsia" w:hint="eastAsia"/>
          <w:szCs w:val="21"/>
        </w:rPr>
        <w:t>美元现汇基金份额</w:t>
      </w:r>
      <w:r w:rsidR="00F564CE" w:rsidRPr="00487553">
        <w:rPr>
          <w:rFonts w:asciiTheme="minorEastAsia" w:eastAsiaTheme="minorEastAsia" w:hAnsiTheme="minorEastAsia"/>
          <w:szCs w:val="21"/>
        </w:rPr>
        <w:t>具体</w:t>
      </w:r>
      <w:r w:rsidRPr="00487553">
        <w:rPr>
          <w:rFonts w:asciiTheme="minorEastAsia" w:eastAsiaTheme="minorEastAsia" w:hAnsiTheme="minorEastAsia" w:hint="eastAsia"/>
          <w:szCs w:val="21"/>
        </w:rPr>
        <w:t>赎回</w:t>
      </w:r>
      <w:r w:rsidR="00F564CE" w:rsidRPr="00487553">
        <w:rPr>
          <w:rFonts w:asciiTheme="minorEastAsia" w:eastAsiaTheme="minorEastAsia" w:hAnsiTheme="minorEastAsia"/>
          <w:szCs w:val="21"/>
        </w:rPr>
        <w:t>费率如下</w:t>
      </w:r>
      <w:r w:rsidR="0064594E" w:rsidRPr="00487553">
        <w:rPr>
          <w:rFonts w:asciiTheme="minorEastAsia" w:eastAsiaTheme="minorEastAsia" w:hAnsiTheme="minorEastAsia"/>
          <w:szCs w:val="21"/>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117"/>
      </w:tblGrid>
      <w:tr w:rsidR="0008306D" w:rsidRPr="00487553" w14:paraId="0B43B486" w14:textId="77777777">
        <w:tc>
          <w:tcPr>
            <w:tcW w:w="3600" w:type="dxa"/>
          </w:tcPr>
          <w:p w14:paraId="221F0871" w14:textId="6A76AAA5"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bookmarkStart w:id="446" w:name="_Hlk187491086"/>
            <w:r w:rsidRPr="00487553">
              <w:rPr>
                <w:rFonts w:asciiTheme="minorEastAsia" w:eastAsiaTheme="minorEastAsia" w:hAnsiTheme="minorEastAsia" w:hint="eastAsia"/>
                <w:b/>
                <w:bCs/>
                <w:sz w:val="20"/>
                <w:szCs w:val="20"/>
              </w:rPr>
              <w:t>持有时间（天）</w:t>
            </w:r>
          </w:p>
        </w:tc>
        <w:tc>
          <w:tcPr>
            <w:tcW w:w="3117" w:type="dxa"/>
          </w:tcPr>
          <w:p w14:paraId="1B93AC3F" w14:textId="657D716D" w:rsidR="00F27E41" w:rsidRPr="00487553" w:rsidRDefault="00F27E41" w:rsidP="00D94E68">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b/>
                <w:bCs/>
                <w:sz w:val="20"/>
                <w:szCs w:val="20"/>
              </w:rPr>
              <w:t>赎回费率</w:t>
            </w:r>
          </w:p>
        </w:tc>
      </w:tr>
      <w:tr w:rsidR="0008306D" w:rsidRPr="00487553" w14:paraId="639F4BF5" w14:textId="77777777">
        <w:tc>
          <w:tcPr>
            <w:tcW w:w="3600" w:type="dxa"/>
          </w:tcPr>
          <w:p w14:paraId="3F711EAB" w14:textId="77777777" w:rsidR="00E91292" w:rsidRPr="00487553" w:rsidRDefault="00E91292" w:rsidP="00E91292">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sz w:val="20"/>
                <w:szCs w:val="20"/>
              </w:rPr>
              <w:t>0-</w:t>
            </w:r>
            <w:r w:rsidRPr="00487553">
              <w:rPr>
                <w:rFonts w:asciiTheme="minorEastAsia" w:eastAsiaTheme="minorEastAsia" w:hAnsiTheme="minorEastAsia" w:hint="eastAsia"/>
                <w:sz w:val="20"/>
                <w:szCs w:val="20"/>
              </w:rPr>
              <w:t>6</w:t>
            </w:r>
          </w:p>
        </w:tc>
        <w:tc>
          <w:tcPr>
            <w:tcW w:w="3117" w:type="dxa"/>
          </w:tcPr>
          <w:p w14:paraId="71B2637B" w14:textId="18755B9C" w:rsidR="00E91292" w:rsidRPr="00487553" w:rsidRDefault="00E91292" w:rsidP="00E91292">
            <w:pPr>
              <w:widowControl/>
              <w:snapToGrid w:val="0"/>
              <w:spacing w:line="360" w:lineRule="auto"/>
              <w:jc w:val="center"/>
              <w:rPr>
                <w:rFonts w:asciiTheme="minorEastAsia" w:eastAsiaTheme="minorEastAsia" w:hAnsiTheme="minorEastAsia"/>
                <w:sz w:val="20"/>
                <w:szCs w:val="20"/>
              </w:rPr>
            </w:pPr>
            <w:r w:rsidRPr="00487553">
              <w:rPr>
                <w:rFonts w:asciiTheme="minorEastAsia" w:eastAsiaTheme="minorEastAsia" w:hAnsiTheme="minorEastAsia" w:hint="eastAsia"/>
                <w:sz w:val="20"/>
                <w:szCs w:val="20"/>
              </w:rPr>
              <w:t>1</w:t>
            </w:r>
            <w:r w:rsidRPr="00487553">
              <w:rPr>
                <w:rFonts w:asciiTheme="minorEastAsia" w:eastAsiaTheme="minorEastAsia" w:hAnsiTheme="minorEastAsia"/>
                <w:sz w:val="20"/>
                <w:szCs w:val="20"/>
              </w:rPr>
              <w:t>.5%</w:t>
            </w:r>
          </w:p>
        </w:tc>
      </w:tr>
      <w:tr w:rsidR="0008306D" w:rsidRPr="00487553" w14:paraId="671E94C4" w14:textId="77777777">
        <w:tc>
          <w:tcPr>
            <w:tcW w:w="3600" w:type="dxa"/>
          </w:tcPr>
          <w:p w14:paraId="7131F3F5" w14:textId="2A3E39C1"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sz w:val="20"/>
                <w:szCs w:val="20"/>
              </w:rPr>
              <w:t>7</w:t>
            </w:r>
            <w:r w:rsidRPr="00487553">
              <w:rPr>
                <w:rFonts w:asciiTheme="minorEastAsia" w:eastAsiaTheme="minorEastAsia" w:hAnsiTheme="minorEastAsia"/>
                <w:sz w:val="20"/>
                <w:szCs w:val="20"/>
              </w:rPr>
              <w:t>-364</w:t>
            </w:r>
          </w:p>
        </w:tc>
        <w:tc>
          <w:tcPr>
            <w:tcW w:w="3117" w:type="dxa"/>
          </w:tcPr>
          <w:p w14:paraId="2468E4CF" w14:textId="6948308F"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0.5%</w:t>
            </w:r>
          </w:p>
        </w:tc>
      </w:tr>
      <w:tr w:rsidR="0008306D" w:rsidRPr="00487553" w14:paraId="2A75F8E1" w14:textId="77777777">
        <w:tc>
          <w:tcPr>
            <w:tcW w:w="3600" w:type="dxa"/>
          </w:tcPr>
          <w:p w14:paraId="1B3E0C8E" w14:textId="77777777"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365-729</w:t>
            </w:r>
          </w:p>
        </w:tc>
        <w:tc>
          <w:tcPr>
            <w:tcW w:w="3117" w:type="dxa"/>
          </w:tcPr>
          <w:p w14:paraId="367465E6" w14:textId="117BC355"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0.25%</w:t>
            </w:r>
          </w:p>
        </w:tc>
      </w:tr>
      <w:tr w:rsidR="0008306D" w:rsidRPr="00487553" w14:paraId="6EBD65D2" w14:textId="77777777">
        <w:tc>
          <w:tcPr>
            <w:tcW w:w="3600" w:type="dxa"/>
          </w:tcPr>
          <w:p w14:paraId="0AD99ECB" w14:textId="77777777"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730</w:t>
            </w:r>
            <w:r w:rsidRPr="00487553">
              <w:rPr>
                <w:rFonts w:asciiTheme="minorEastAsia" w:eastAsiaTheme="minorEastAsia" w:hAnsiTheme="minorEastAsia" w:hint="eastAsia"/>
                <w:sz w:val="20"/>
                <w:szCs w:val="20"/>
              </w:rPr>
              <w:t>及以上</w:t>
            </w:r>
          </w:p>
        </w:tc>
        <w:tc>
          <w:tcPr>
            <w:tcW w:w="3117" w:type="dxa"/>
          </w:tcPr>
          <w:p w14:paraId="59AD770F" w14:textId="54013E23" w:rsidR="00E91292" w:rsidRPr="00487553" w:rsidRDefault="00E91292" w:rsidP="00E91292">
            <w:pPr>
              <w:widowControl/>
              <w:snapToGrid w:val="0"/>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sz w:val="20"/>
                <w:szCs w:val="20"/>
              </w:rPr>
              <w:t>0%</w:t>
            </w:r>
          </w:p>
        </w:tc>
      </w:tr>
      <w:bookmarkEnd w:id="446"/>
    </w:tbl>
    <w:p w14:paraId="72F80E4A" w14:textId="77777777" w:rsidR="009058F8" w:rsidRPr="00487553" w:rsidRDefault="009058F8" w:rsidP="00D94E68">
      <w:pPr>
        <w:pStyle w:val="ab"/>
        <w:tabs>
          <w:tab w:val="left" w:pos="420"/>
        </w:tabs>
        <w:snapToGrid w:val="0"/>
        <w:spacing w:after="0" w:line="360" w:lineRule="auto"/>
        <w:rPr>
          <w:rFonts w:asciiTheme="minorEastAsia" w:eastAsiaTheme="minorEastAsia" w:hAnsiTheme="minorEastAsia"/>
          <w:szCs w:val="21"/>
        </w:rPr>
      </w:pPr>
    </w:p>
    <w:p w14:paraId="31492764" w14:textId="77777777" w:rsidR="0064594E" w:rsidRPr="00487553" w:rsidRDefault="009058F8" w:rsidP="00B01706">
      <w:pPr>
        <w:pStyle w:val="ab"/>
        <w:tabs>
          <w:tab w:val="left" w:pos="420"/>
        </w:tabs>
        <w:snapToGrid w:val="0"/>
        <w:spacing w:after="0" w:line="360" w:lineRule="auto"/>
        <w:ind w:firstLineChars="150" w:firstLine="315"/>
        <w:rPr>
          <w:rFonts w:asciiTheme="minorEastAsia" w:eastAsiaTheme="minorEastAsia" w:hAnsiTheme="minorEastAsia"/>
          <w:sz w:val="18"/>
          <w:szCs w:val="21"/>
        </w:rPr>
      </w:pPr>
      <w:r w:rsidRPr="00487553">
        <w:rPr>
          <w:rFonts w:asciiTheme="minorEastAsia" w:eastAsiaTheme="minorEastAsia" w:hAnsiTheme="minorEastAsia" w:hint="eastAsia"/>
          <w:szCs w:val="21"/>
        </w:rPr>
        <w:t>本基金C类基金份额</w:t>
      </w:r>
      <w:r w:rsidRPr="00487553">
        <w:rPr>
          <w:rFonts w:asciiTheme="minorEastAsia" w:eastAsiaTheme="minorEastAsia" w:hAnsiTheme="minorEastAsia"/>
          <w:szCs w:val="21"/>
        </w:rPr>
        <w:t>具体</w:t>
      </w:r>
      <w:r w:rsidRPr="00487553">
        <w:rPr>
          <w:rFonts w:asciiTheme="minorEastAsia" w:eastAsiaTheme="minorEastAsia" w:hAnsiTheme="minorEastAsia" w:hint="eastAsia"/>
          <w:szCs w:val="21"/>
        </w:rPr>
        <w:t>赎回</w:t>
      </w:r>
      <w:r w:rsidRPr="00487553">
        <w:rPr>
          <w:rFonts w:asciiTheme="minorEastAsia" w:eastAsiaTheme="minorEastAsia" w:hAnsiTheme="minorEastAsia"/>
          <w:szCs w:val="21"/>
        </w:rPr>
        <w:t>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9"/>
        <w:gridCol w:w="3136"/>
      </w:tblGrid>
      <w:tr w:rsidR="0008306D" w:rsidRPr="00487553" w14:paraId="1C94E783" w14:textId="77777777" w:rsidTr="00666D72">
        <w:trPr>
          <w:jc w:val="center"/>
        </w:trPr>
        <w:tc>
          <w:tcPr>
            <w:tcW w:w="2959" w:type="dxa"/>
            <w:tcBorders>
              <w:top w:val="single" w:sz="4" w:space="0" w:color="auto"/>
              <w:left w:val="single" w:sz="4" w:space="0" w:color="auto"/>
              <w:bottom w:val="single" w:sz="4" w:space="0" w:color="auto"/>
              <w:right w:val="single" w:sz="4" w:space="0" w:color="auto"/>
            </w:tcBorders>
            <w:hideMark/>
          </w:tcPr>
          <w:p w14:paraId="5E790091" w14:textId="4EB9AFA3" w:rsidR="009058F8" w:rsidRPr="00487553" w:rsidRDefault="009058F8" w:rsidP="009058F8">
            <w:pPr>
              <w:widowControl/>
              <w:spacing w:before="100" w:beforeAutospacing="1" w:after="100" w:afterAutospacing="1" w:line="360" w:lineRule="auto"/>
              <w:jc w:val="center"/>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持有时间(天)</w:t>
            </w:r>
          </w:p>
        </w:tc>
        <w:tc>
          <w:tcPr>
            <w:tcW w:w="3136" w:type="dxa"/>
            <w:tcBorders>
              <w:top w:val="single" w:sz="4" w:space="0" w:color="auto"/>
              <w:left w:val="single" w:sz="4" w:space="0" w:color="auto"/>
              <w:bottom w:val="single" w:sz="4" w:space="0" w:color="auto"/>
              <w:right w:val="single" w:sz="4" w:space="0" w:color="auto"/>
            </w:tcBorders>
            <w:hideMark/>
          </w:tcPr>
          <w:p w14:paraId="6317A153" w14:textId="4493E1C6" w:rsidR="009058F8" w:rsidRPr="00487553" w:rsidRDefault="009058F8" w:rsidP="009058F8">
            <w:pPr>
              <w:widowControl/>
              <w:spacing w:before="100" w:beforeAutospacing="1" w:after="100" w:afterAutospacing="1" w:line="360" w:lineRule="auto"/>
              <w:jc w:val="center"/>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赎回费率</w:t>
            </w:r>
          </w:p>
        </w:tc>
      </w:tr>
      <w:tr w:rsidR="0008306D" w:rsidRPr="00487553" w14:paraId="23458690" w14:textId="77777777" w:rsidTr="00666D72">
        <w:trPr>
          <w:jc w:val="center"/>
        </w:trPr>
        <w:tc>
          <w:tcPr>
            <w:tcW w:w="2959" w:type="dxa"/>
            <w:tcBorders>
              <w:top w:val="single" w:sz="4" w:space="0" w:color="auto"/>
              <w:left w:val="single" w:sz="4" w:space="0" w:color="auto"/>
              <w:bottom w:val="single" w:sz="4" w:space="0" w:color="auto"/>
              <w:right w:val="single" w:sz="4" w:space="0" w:color="auto"/>
            </w:tcBorders>
            <w:hideMark/>
          </w:tcPr>
          <w:p w14:paraId="178257D2" w14:textId="77777777" w:rsidR="009058F8" w:rsidRPr="00487553" w:rsidRDefault="009058F8" w:rsidP="009058F8">
            <w:pPr>
              <w:widowControl/>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kern w:val="0"/>
                <w:szCs w:val="21"/>
              </w:rPr>
              <w:t>0-6</w:t>
            </w:r>
          </w:p>
        </w:tc>
        <w:tc>
          <w:tcPr>
            <w:tcW w:w="3136" w:type="dxa"/>
            <w:tcBorders>
              <w:top w:val="single" w:sz="4" w:space="0" w:color="auto"/>
              <w:left w:val="single" w:sz="4" w:space="0" w:color="auto"/>
              <w:bottom w:val="single" w:sz="4" w:space="0" w:color="auto"/>
              <w:right w:val="single" w:sz="4" w:space="0" w:color="auto"/>
            </w:tcBorders>
            <w:hideMark/>
          </w:tcPr>
          <w:p w14:paraId="7E6FD4D9" w14:textId="39D0224D" w:rsidR="009058F8" w:rsidRPr="00487553" w:rsidRDefault="00E91292" w:rsidP="009058F8">
            <w:pPr>
              <w:widowControl/>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1.5%</w:t>
            </w:r>
          </w:p>
        </w:tc>
      </w:tr>
      <w:tr w:rsidR="0008306D" w:rsidRPr="00487553" w14:paraId="27B96DDE" w14:textId="77777777" w:rsidTr="00666D72">
        <w:trPr>
          <w:jc w:val="center"/>
        </w:trPr>
        <w:tc>
          <w:tcPr>
            <w:tcW w:w="2959" w:type="dxa"/>
            <w:tcBorders>
              <w:top w:val="single" w:sz="4" w:space="0" w:color="auto"/>
              <w:left w:val="single" w:sz="4" w:space="0" w:color="auto"/>
              <w:bottom w:val="single" w:sz="4" w:space="0" w:color="auto"/>
              <w:right w:val="single" w:sz="4" w:space="0" w:color="auto"/>
            </w:tcBorders>
            <w:hideMark/>
          </w:tcPr>
          <w:p w14:paraId="3D48145C" w14:textId="77777777" w:rsidR="009058F8" w:rsidRPr="00487553" w:rsidRDefault="009058F8" w:rsidP="009058F8">
            <w:pPr>
              <w:widowControl/>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kern w:val="0"/>
                <w:szCs w:val="21"/>
              </w:rPr>
              <w:t>7</w:t>
            </w:r>
            <w:r w:rsidRPr="00487553">
              <w:rPr>
                <w:rFonts w:asciiTheme="minorEastAsia" w:eastAsiaTheme="minorEastAsia" w:hAnsiTheme="minorEastAsia" w:hint="eastAsia"/>
                <w:kern w:val="0"/>
                <w:szCs w:val="21"/>
              </w:rPr>
              <w:t>及以上</w:t>
            </w:r>
          </w:p>
        </w:tc>
        <w:tc>
          <w:tcPr>
            <w:tcW w:w="3136" w:type="dxa"/>
            <w:tcBorders>
              <w:top w:val="single" w:sz="4" w:space="0" w:color="auto"/>
              <w:left w:val="single" w:sz="4" w:space="0" w:color="auto"/>
              <w:bottom w:val="single" w:sz="4" w:space="0" w:color="auto"/>
              <w:right w:val="single" w:sz="4" w:space="0" w:color="auto"/>
            </w:tcBorders>
            <w:hideMark/>
          </w:tcPr>
          <w:p w14:paraId="1141E34B" w14:textId="78492F6F" w:rsidR="009058F8" w:rsidRPr="00487553" w:rsidRDefault="009058F8" w:rsidP="009058F8">
            <w:pPr>
              <w:widowControl/>
              <w:spacing w:line="360" w:lineRule="auto"/>
              <w:jc w:val="center"/>
              <w:rPr>
                <w:rFonts w:asciiTheme="minorEastAsia" w:eastAsiaTheme="minorEastAsia" w:hAnsiTheme="minorEastAsia"/>
                <w:kern w:val="0"/>
                <w:szCs w:val="21"/>
              </w:rPr>
            </w:pPr>
            <w:r w:rsidRPr="00487553">
              <w:rPr>
                <w:rFonts w:asciiTheme="minorEastAsia" w:eastAsiaTheme="minorEastAsia" w:hAnsiTheme="minorEastAsia"/>
                <w:kern w:val="0"/>
                <w:szCs w:val="21"/>
              </w:rPr>
              <w:t>0%</w:t>
            </w:r>
          </w:p>
        </w:tc>
      </w:tr>
    </w:tbl>
    <w:p w14:paraId="0FB8AB47" w14:textId="77777777" w:rsidR="0064594E" w:rsidRPr="00487553" w:rsidRDefault="00341919" w:rsidP="00D94E68">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3、</w:t>
      </w:r>
      <w:r w:rsidR="0064594E" w:rsidRPr="00487553">
        <w:rPr>
          <w:rFonts w:asciiTheme="minorEastAsia" w:eastAsiaTheme="minorEastAsia" w:hAnsiTheme="minorEastAsia"/>
          <w:szCs w:val="21"/>
        </w:rPr>
        <w:t>基金管理人可以在基金合同规定的范围内调整申购费率和赎回费率，调整后的申购费率和赎回费率在更新的招募说明书中列示。上述费率如发生变更，基金管理人还应于新的费率实施</w:t>
      </w:r>
      <w:r w:rsidR="00C248D4" w:rsidRPr="00487553">
        <w:rPr>
          <w:rFonts w:asciiTheme="minorEastAsia" w:eastAsiaTheme="minorEastAsia" w:hAnsiTheme="minorEastAsia"/>
          <w:szCs w:val="21"/>
        </w:rPr>
        <w:t>日</w:t>
      </w:r>
      <w:r w:rsidR="0064594E" w:rsidRPr="00487553">
        <w:rPr>
          <w:rFonts w:asciiTheme="minorEastAsia" w:eastAsiaTheme="minorEastAsia" w:hAnsiTheme="minorEastAsia"/>
          <w:szCs w:val="21"/>
        </w:rPr>
        <w:t>前</w:t>
      </w:r>
      <w:r w:rsidR="00C248D4" w:rsidRPr="00487553">
        <w:rPr>
          <w:rFonts w:asciiTheme="minorEastAsia" w:eastAsiaTheme="minorEastAsia" w:hAnsiTheme="minorEastAsia"/>
          <w:szCs w:val="21"/>
        </w:rPr>
        <w:t>依照《信息披露办法》的有关规定在指定媒体上公告。</w:t>
      </w:r>
    </w:p>
    <w:p w14:paraId="3A8F7D2A" w14:textId="77777777" w:rsidR="00341919" w:rsidRPr="00487553" w:rsidRDefault="00341919" w:rsidP="00D94E68">
      <w:pPr>
        <w:pStyle w:val="ab"/>
        <w:snapToGrid w:val="0"/>
        <w:spacing w:after="0"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4、对特定交易方式（如网上交易、电话交易</w:t>
      </w:r>
      <w:r w:rsidR="00CF2D5C" w:rsidRPr="00487553">
        <w:rPr>
          <w:rFonts w:asciiTheme="minorEastAsia" w:eastAsiaTheme="minorEastAsia" w:hAnsiTheme="minorEastAsia" w:hint="eastAsia"/>
          <w:szCs w:val="21"/>
        </w:rPr>
        <w:t>、手机交易</w:t>
      </w:r>
      <w:r w:rsidRPr="00487553">
        <w:rPr>
          <w:rFonts w:asciiTheme="minorEastAsia" w:eastAsiaTheme="minorEastAsia" w:hAnsiTheme="minorEastAsia" w:hint="eastAsia"/>
          <w:szCs w:val="21"/>
        </w:rPr>
        <w:t>等），基金管理人可以采用低于柜台交易方式的基金申购费率和基金赎回费率。</w:t>
      </w:r>
    </w:p>
    <w:p w14:paraId="2DC17AD7" w14:textId="77777777" w:rsidR="0064594E" w:rsidRPr="00487553" w:rsidRDefault="00341919" w:rsidP="00D94E68">
      <w:pPr>
        <w:snapToGrid w:val="0"/>
        <w:spacing w:line="360" w:lineRule="auto"/>
        <w:ind w:firstLine="435"/>
        <w:rPr>
          <w:rFonts w:asciiTheme="minorEastAsia" w:eastAsiaTheme="minorEastAsia" w:hAnsiTheme="minorEastAsia"/>
          <w:szCs w:val="21"/>
        </w:rPr>
      </w:pPr>
      <w:r w:rsidRPr="00487553">
        <w:rPr>
          <w:rFonts w:asciiTheme="minorEastAsia" w:eastAsiaTheme="minorEastAsia" w:hAnsiTheme="minorEastAsia" w:hint="eastAsia"/>
        </w:rPr>
        <w:t>5</w:t>
      </w:r>
      <w:r w:rsidR="00500862" w:rsidRPr="00487553">
        <w:rPr>
          <w:rFonts w:asciiTheme="minorEastAsia" w:eastAsiaTheme="minorEastAsia" w:hAnsiTheme="minorEastAsia"/>
        </w:rPr>
        <w:t>、</w:t>
      </w:r>
      <w:r w:rsidR="00AB23A4" w:rsidRPr="00487553">
        <w:rPr>
          <w:rFonts w:asciiTheme="minorEastAsia" w:eastAsiaTheme="minorEastAsia" w:hAnsiTheme="minorEastAsia" w:hint="eastAsia"/>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729267FD"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47" w:name="_Toc20148445"/>
      <w:r w:rsidRPr="00487553">
        <w:rPr>
          <w:rFonts w:asciiTheme="minorEastAsia" w:eastAsiaTheme="minorEastAsia" w:hAnsiTheme="minorEastAsia"/>
          <w:bCs/>
        </w:rPr>
        <w:t>申购份额</w:t>
      </w:r>
      <w:r w:rsidR="00C148F8" w:rsidRPr="00487553">
        <w:rPr>
          <w:rFonts w:asciiTheme="minorEastAsia" w:eastAsiaTheme="minorEastAsia" w:hAnsiTheme="minorEastAsia"/>
          <w:bCs/>
        </w:rPr>
        <w:t>与</w:t>
      </w:r>
      <w:r w:rsidRPr="00487553">
        <w:rPr>
          <w:rFonts w:asciiTheme="minorEastAsia" w:eastAsiaTheme="minorEastAsia" w:hAnsiTheme="minorEastAsia"/>
          <w:bCs/>
        </w:rPr>
        <w:t>赎回金额的计算</w:t>
      </w:r>
      <w:bookmarkEnd w:id="447"/>
    </w:p>
    <w:p w14:paraId="75AC4599" w14:textId="2AADB29B" w:rsidR="00391D11" w:rsidRPr="00487553" w:rsidRDefault="0076638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00391D11" w:rsidRPr="00487553">
        <w:rPr>
          <w:rFonts w:asciiTheme="minorEastAsia" w:eastAsiaTheme="minorEastAsia" w:hAnsiTheme="minorEastAsia"/>
          <w:kern w:val="0"/>
          <w:szCs w:val="21"/>
        </w:rPr>
        <w:t>、申购份额的计算</w:t>
      </w:r>
    </w:p>
    <w:p w14:paraId="6CF705FA" w14:textId="77777777" w:rsidR="00766387" w:rsidRPr="00487553" w:rsidRDefault="0076638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本基金</w:t>
      </w:r>
      <w:r w:rsidR="005B4C6E" w:rsidRPr="00487553">
        <w:rPr>
          <w:rFonts w:asciiTheme="minorEastAsia" w:eastAsiaTheme="minorEastAsia" w:hAnsiTheme="minorEastAsia" w:hint="eastAsia"/>
          <w:szCs w:val="21"/>
        </w:rPr>
        <w:t>A</w:t>
      </w:r>
      <w:r w:rsidR="005B4C6E" w:rsidRPr="00487553">
        <w:rPr>
          <w:rFonts w:asciiTheme="minorEastAsia" w:eastAsiaTheme="minorEastAsia" w:hAnsiTheme="minorEastAsia"/>
          <w:szCs w:val="21"/>
        </w:rPr>
        <w:t>类</w:t>
      </w:r>
      <w:r w:rsidR="005B4C6E" w:rsidRPr="00487553">
        <w:rPr>
          <w:rFonts w:asciiTheme="minorEastAsia" w:eastAsiaTheme="minorEastAsia" w:hAnsiTheme="minorEastAsia" w:hint="eastAsia"/>
          <w:szCs w:val="21"/>
        </w:rPr>
        <w:t>基金</w:t>
      </w:r>
      <w:r w:rsidR="005B4C6E" w:rsidRPr="00487553">
        <w:rPr>
          <w:rFonts w:asciiTheme="minorEastAsia" w:eastAsiaTheme="minorEastAsia" w:hAnsiTheme="minorEastAsia"/>
          <w:szCs w:val="21"/>
        </w:rPr>
        <w:t>份额</w:t>
      </w:r>
      <w:r w:rsidRPr="00487553">
        <w:rPr>
          <w:rFonts w:asciiTheme="minorEastAsia" w:eastAsiaTheme="minorEastAsia" w:hAnsiTheme="minorEastAsia" w:hint="eastAsia"/>
          <w:szCs w:val="21"/>
        </w:rPr>
        <w:t>的申购金额包括申购费用和净申购金额，其中：</w:t>
      </w:r>
    </w:p>
    <w:p w14:paraId="5BAD2A5A" w14:textId="64A9B2C2" w:rsidR="00766387" w:rsidRPr="00487553" w:rsidRDefault="0076638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净申购金额=申购金额/（1+申购费率）</w:t>
      </w:r>
    </w:p>
    <w:p w14:paraId="1D3E9324" w14:textId="77777777" w:rsidR="00766387" w:rsidRPr="00487553" w:rsidRDefault="0076638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申购费用=申购金额-净申购金额</w:t>
      </w:r>
    </w:p>
    <w:p w14:paraId="049F9AC2" w14:textId="77777777" w:rsidR="00766387" w:rsidRPr="00487553" w:rsidRDefault="0076638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申购份数=净申购金额/T日基金份额净值</w:t>
      </w:r>
    </w:p>
    <w:p w14:paraId="7A00AD4F" w14:textId="77777777" w:rsidR="002E6A07" w:rsidRPr="00487553" w:rsidRDefault="002E6A0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对于500万元人民币（含）以上或100万美元（含）以上的申购，净申购金额=申购金额-固定申购费金额</w:t>
      </w:r>
    </w:p>
    <w:p w14:paraId="0705AFAE" w14:textId="77777777" w:rsidR="00920E30" w:rsidRPr="00487553" w:rsidRDefault="00A05BFF"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举例说明</w:t>
      </w:r>
      <w:r w:rsidR="00391D11" w:rsidRPr="00487553">
        <w:rPr>
          <w:rFonts w:asciiTheme="minorEastAsia" w:eastAsiaTheme="minorEastAsia" w:hAnsiTheme="minorEastAsia"/>
          <w:kern w:val="0"/>
          <w:szCs w:val="21"/>
        </w:rPr>
        <w:t>：</w:t>
      </w:r>
    </w:p>
    <w:p w14:paraId="003162FB" w14:textId="5D3B9D22" w:rsidR="00FF0BC0"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例</w:t>
      </w:r>
      <w:r w:rsidR="00B644DD" w:rsidRPr="00487553">
        <w:rPr>
          <w:rFonts w:asciiTheme="minorEastAsia" w:eastAsiaTheme="minorEastAsia" w:hAnsiTheme="minorEastAsia" w:hint="eastAsia"/>
          <w:kern w:val="0"/>
          <w:szCs w:val="21"/>
        </w:rPr>
        <w:t>一</w:t>
      </w:r>
      <w:r w:rsidRPr="00487553">
        <w:rPr>
          <w:rFonts w:asciiTheme="minorEastAsia" w:eastAsiaTheme="minorEastAsia" w:hAnsiTheme="minorEastAsia" w:hint="eastAsia"/>
          <w:kern w:val="0"/>
          <w:szCs w:val="21"/>
        </w:rPr>
        <w:t>：</w:t>
      </w:r>
      <w:r w:rsidR="0027589F" w:rsidRPr="00487553">
        <w:rPr>
          <w:rFonts w:asciiTheme="minorEastAsia" w:eastAsiaTheme="minorEastAsia" w:hAnsiTheme="minorEastAsia"/>
          <w:kern w:val="0"/>
          <w:szCs w:val="21"/>
        </w:rPr>
        <w:t>某投资</w:t>
      </w:r>
      <w:r w:rsidR="0027589F" w:rsidRPr="00487553">
        <w:rPr>
          <w:rFonts w:asciiTheme="minorEastAsia" w:eastAsiaTheme="minorEastAsia" w:hAnsiTheme="minorEastAsia" w:hint="eastAsia"/>
          <w:kern w:val="0"/>
          <w:szCs w:val="21"/>
        </w:rPr>
        <w:t>者</w:t>
      </w:r>
      <w:r w:rsidR="00A2587D" w:rsidRPr="00487553">
        <w:rPr>
          <w:rFonts w:asciiTheme="minorEastAsia" w:eastAsiaTheme="minorEastAsia" w:hAnsiTheme="minorEastAsia" w:hint="eastAsia"/>
          <w:kern w:val="0"/>
          <w:szCs w:val="21"/>
        </w:rPr>
        <w:t>（非特定投资群体）</w:t>
      </w:r>
      <w:r w:rsidR="0027589F" w:rsidRPr="00487553">
        <w:rPr>
          <w:rFonts w:asciiTheme="minorEastAsia" w:eastAsiaTheme="minorEastAsia" w:hAnsiTheme="minorEastAsia"/>
          <w:kern w:val="0"/>
          <w:szCs w:val="21"/>
        </w:rPr>
        <w:t>投资</w:t>
      </w:r>
      <w:r w:rsidRPr="00487553">
        <w:rPr>
          <w:rFonts w:asciiTheme="minorEastAsia" w:eastAsiaTheme="minorEastAsia" w:hAnsiTheme="minorEastAsia"/>
          <w:kern w:val="0"/>
          <w:szCs w:val="21"/>
        </w:rPr>
        <w:t>4万元</w:t>
      </w:r>
      <w:r w:rsidR="002E6A07" w:rsidRPr="00487553">
        <w:rPr>
          <w:rFonts w:asciiTheme="minorEastAsia" w:eastAsiaTheme="minorEastAsia" w:hAnsiTheme="minorEastAsia" w:hint="eastAsia"/>
          <w:kern w:val="0"/>
          <w:szCs w:val="21"/>
        </w:rPr>
        <w:t>人民币</w:t>
      </w:r>
      <w:r w:rsidRPr="00487553">
        <w:rPr>
          <w:rFonts w:asciiTheme="minorEastAsia" w:eastAsiaTheme="minorEastAsia" w:hAnsiTheme="minorEastAsia"/>
          <w:kern w:val="0"/>
          <w:szCs w:val="21"/>
        </w:rPr>
        <w:t>申购本基金</w:t>
      </w:r>
      <w:r w:rsidR="00D53B06" w:rsidRPr="00487553">
        <w:rPr>
          <w:rFonts w:asciiTheme="minorEastAsia" w:eastAsiaTheme="minorEastAsia" w:hAnsiTheme="minorEastAsia"/>
          <w:kern w:val="0"/>
          <w:szCs w:val="21"/>
        </w:rPr>
        <w:t>A类人民币基金份额</w:t>
      </w:r>
      <w:r w:rsidRPr="00487553">
        <w:rPr>
          <w:rFonts w:asciiTheme="minorEastAsia" w:eastAsiaTheme="minorEastAsia" w:hAnsiTheme="minorEastAsia"/>
          <w:kern w:val="0"/>
          <w:szCs w:val="21"/>
        </w:rPr>
        <w:t>，申购费率为1</w:t>
      </w:r>
      <w:r w:rsidRPr="00487553">
        <w:rPr>
          <w:rFonts w:asciiTheme="minorEastAsia" w:eastAsiaTheme="minorEastAsia" w:hAnsiTheme="minorEastAsia" w:hint="eastAsia"/>
          <w:kern w:val="0"/>
          <w:szCs w:val="21"/>
        </w:rPr>
        <w:t>.2</w:t>
      </w:r>
      <w:r w:rsidRPr="00487553">
        <w:rPr>
          <w:rFonts w:asciiTheme="minorEastAsia" w:eastAsiaTheme="minorEastAsia" w:hAnsiTheme="minorEastAsia"/>
          <w:kern w:val="0"/>
          <w:szCs w:val="21"/>
        </w:rPr>
        <w:t>%，假设申购</w:t>
      </w:r>
      <w:r w:rsidR="00C0793C" w:rsidRPr="00487553">
        <w:rPr>
          <w:rFonts w:asciiTheme="minorEastAsia" w:eastAsiaTheme="minorEastAsia" w:hAnsiTheme="minorEastAsia"/>
          <w:kern w:val="0"/>
          <w:szCs w:val="21"/>
        </w:rPr>
        <w:t>当日</w:t>
      </w:r>
      <w:r w:rsidR="00BA5D26" w:rsidRPr="00487553">
        <w:rPr>
          <w:rFonts w:asciiTheme="minorEastAsia" w:eastAsiaTheme="minorEastAsia" w:hAnsiTheme="minorEastAsia" w:hint="eastAsia"/>
          <w:kern w:val="0"/>
          <w:szCs w:val="21"/>
        </w:rPr>
        <w:t>A类</w:t>
      </w:r>
      <w:r w:rsidR="00C0793C" w:rsidRPr="00487553">
        <w:rPr>
          <w:rFonts w:asciiTheme="minorEastAsia" w:eastAsiaTheme="minorEastAsia" w:hAnsiTheme="minorEastAsia" w:hint="eastAsia"/>
          <w:kern w:val="0"/>
          <w:szCs w:val="21"/>
        </w:rPr>
        <w:t>人民币</w:t>
      </w:r>
      <w:r w:rsidRPr="00487553">
        <w:rPr>
          <w:rFonts w:asciiTheme="minorEastAsia" w:eastAsiaTheme="minorEastAsia" w:hAnsiTheme="minorEastAsia"/>
          <w:kern w:val="0"/>
          <w:szCs w:val="21"/>
        </w:rPr>
        <w:t>基金份额净值为1.040</w:t>
      </w:r>
      <w:r w:rsidR="00DD2DCD" w:rsidRPr="00487553">
        <w:rPr>
          <w:rFonts w:asciiTheme="minorEastAsia" w:eastAsiaTheme="minorEastAsia" w:hAnsiTheme="minorEastAsia" w:hint="eastAsia"/>
          <w:kern w:val="0"/>
          <w:szCs w:val="21"/>
        </w:rPr>
        <w:t>0</w:t>
      </w:r>
      <w:r w:rsidRPr="00487553">
        <w:rPr>
          <w:rFonts w:asciiTheme="minorEastAsia" w:eastAsiaTheme="minorEastAsia" w:hAnsiTheme="minorEastAsia"/>
          <w:kern w:val="0"/>
          <w:szCs w:val="21"/>
        </w:rPr>
        <w:t>元</w:t>
      </w:r>
      <w:r w:rsidR="002E6A07" w:rsidRPr="00487553">
        <w:rPr>
          <w:rFonts w:asciiTheme="minorEastAsia" w:eastAsiaTheme="minorEastAsia" w:hAnsiTheme="minorEastAsia" w:hint="eastAsia"/>
          <w:kern w:val="0"/>
          <w:szCs w:val="21"/>
        </w:rPr>
        <w:t>人民币</w:t>
      </w:r>
      <w:r w:rsidRPr="00487553">
        <w:rPr>
          <w:rFonts w:asciiTheme="minorEastAsia" w:eastAsiaTheme="minorEastAsia" w:hAnsiTheme="minorEastAsia"/>
          <w:kern w:val="0"/>
          <w:szCs w:val="21"/>
        </w:rPr>
        <w:t>，则其可得到的</w:t>
      </w:r>
      <w:r w:rsidR="004B1F06" w:rsidRPr="00487553">
        <w:rPr>
          <w:rFonts w:asciiTheme="minorEastAsia" w:eastAsiaTheme="minorEastAsia" w:hAnsiTheme="minorEastAsia" w:hint="eastAsia"/>
          <w:kern w:val="0"/>
          <w:szCs w:val="21"/>
        </w:rPr>
        <w:t>A</w:t>
      </w:r>
      <w:r w:rsidR="004B1F06" w:rsidRPr="00487553">
        <w:rPr>
          <w:rFonts w:asciiTheme="minorEastAsia" w:eastAsiaTheme="minorEastAsia" w:hAnsiTheme="minorEastAsia"/>
          <w:kern w:val="0"/>
          <w:szCs w:val="21"/>
        </w:rPr>
        <w:t>类</w:t>
      </w:r>
      <w:r w:rsidR="00BA045C" w:rsidRPr="00487553">
        <w:rPr>
          <w:rFonts w:asciiTheme="minorEastAsia" w:eastAsiaTheme="minorEastAsia" w:hAnsiTheme="minorEastAsia" w:hint="eastAsia"/>
          <w:kern w:val="0"/>
          <w:szCs w:val="21"/>
        </w:rPr>
        <w:t>人民币</w:t>
      </w:r>
      <w:r w:rsidR="004B1F06" w:rsidRPr="00487553">
        <w:rPr>
          <w:rFonts w:asciiTheme="minorEastAsia" w:eastAsiaTheme="minorEastAsia" w:hAnsiTheme="minorEastAsia" w:hint="eastAsia"/>
          <w:kern w:val="0"/>
          <w:szCs w:val="21"/>
        </w:rPr>
        <w:t>基金</w:t>
      </w:r>
      <w:r w:rsidR="004B1F06" w:rsidRPr="00487553">
        <w:rPr>
          <w:rFonts w:asciiTheme="minorEastAsia" w:eastAsiaTheme="minorEastAsia" w:hAnsiTheme="minorEastAsia"/>
          <w:kern w:val="0"/>
          <w:szCs w:val="21"/>
        </w:rPr>
        <w:t>份额</w:t>
      </w:r>
      <w:r w:rsidRPr="00487553">
        <w:rPr>
          <w:rFonts w:asciiTheme="minorEastAsia" w:eastAsiaTheme="minorEastAsia" w:hAnsiTheme="minorEastAsia"/>
          <w:kern w:val="0"/>
          <w:szCs w:val="21"/>
        </w:rPr>
        <w:t>申购份额为：</w:t>
      </w:r>
    </w:p>
    <w:p w14:paraId="01AEF694" w14:textId="53080754" w:rsidR="00FF0BC0"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净申购金额=40,000/（1+1</w:t>
      </w:r>
      <w:r w:rsidRPr="00487553">
        <w:rPr>
          <w:rFonts w:asciiTheme="minorEastAsia" w:eastAsiaTheme="minorEastAsia" w:hAnsiTheme="minorEastAsia" w:hint="eastAsia"/>
          <w:kern w:val="0"/>
          <w:szCs w:val="21"/>
        </w:rPr>
        <w:t>.2</w:t>
      </w:r>
      <w:r w:rsidRPr="00487553">
        <w:rPr>
          <w:rFonts w:asciiTheme="minorEastAsia" w:eastAsiaTheme="minorEastAsia" w:hAnsiTheme="minorEastAsia"/>
          <w:kern w:val="0"/>
          <w:szCs w:val="21"/>
        </w:rPr>
        <w:t>%）=39,</w:t>
      </w:r>
      <w:r w:rsidRPr="00487553">
        <w:rPr>
          <w:rFonts w:asciiTheme="minorEastAsia" w:eastAsiaTheme="minorEastAsia" w:hAnsiTheme="minorEastAsia" w:hint="eastAsia"/>
          <w:kern w:val="0"/>
          <w:szCs w:val="21"/>
        </w:rPr>
        <w:t>525</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69</w:t>
      </w:r>
      <w:r w:rsidRPr="00487553">
        <w:rPr>
          <w:rFonts w:asciiTheme="minorEastAsia" w:eastAsiaTheme="minorEastAsia" w:hAnsiTheme="minorEastAsia"/>
          <w:kern w:val="0"/>
          <w:szCs w:val="21"/>
        </w:rPr>
        <w:t>元</w:t>
      </w:r>
      <w:r w:rsidR="002E6A07" w:rsidRPr="00487553">
        <w:rPr>
          <w:rFonts w:asciiTheme="minorEastAsia" w:eastAsiaTheme="minorEastAsia" w:hAnsiTheme="minorEastAsia" w:hint="eastAsia"/>
          <w:kern w:val="0"/>
          <w:szCs w:val="21"/>
        </w:rPr>
        <w:t>人民币</w:t>
      </w:r>
    </w:p>
    <w:p w14:paraId="30363282" w14:textId="760E0385" w:rsidR="00FF0BC0"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申购费用=40,000-39,</w:t>
      </w:r>
      <w:r w:rsidRPr="00487553">
        <w:rPr>
          <w:rFonts w:asciiTheme="minorEastAsia" w:eastAsiaTheme="minorEastAsia" w:hAnsiTheme="minorEastAsia" w:hint="eastAsia"/>
          <w:kern w:val="0"/>
          <w:szCs w:val="21"/>
        </w:rPr>
        <w:t>525</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69</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474</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31</w:t>
      </w:r>
      <w:r w:rsidRPr="00487553">
        <w:rPr>
          <w:rFonts w:asciiTheme="minorEastAsia" w:eastAsiaTheme="minorEastAsia" w:hAnsiTheme="minorEastAsia"/>
          <w:kern w:val="0"/>
          <w:szCs w:val="21"/>
        </w:rPr>
        <w:t>元</w:t>
      </w:r>
      <w:r w:rsidR="002E6A07" w:rsidRPr="00487553">
        <w:rPr>
          <w:rFonts w:asciiTheme="minorEastAsia" w:eastAsiaTheme="minorEastAsia" w:hAnsiTheme="minorEastAsia" w:hint="eastAsia"/>
          <w:kern w:val="0"/>
          <w:szCs w:val="21"/>
        </w:rPr>
        <w:t>人民币</w:t>
      </w:r>
    </w:p>
    <w:p w14:paraId="2A3C638F" w14:textId="77777777" w:rsidR="00D9747A"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申购份额=39,</w:t>
      </w:r>
      <w:r w:rsidRPr="00487553">
        <w:rPr>
          <w:rFonts w:asciiTheme="minorEastAsia" w:eastAsiaTheme="minorEastAsia" w:hAnsiTheme="minorEastAsia" w:hint="eastAsia"/>
          <w:kern w:val="0"/>
          <w:szCs w:val="21"/>
        </w:rPr>
        <w:t>525.69</w:t>
      </w:r>
      <w:r w:rsidRPr="00487553">
        <w:rPr>
          <w:rFonts w:asciiTheme="minorEastAsia" w:eastAsiaTheme="minorEastAsia" w:hAnsiTheme="minorEastAsia"/>
          <w:kern w:val="0"/>
          <w:szCs w:val="21"/>
        </w:rPr>
        <w:t>/1.040</w:t>
      </w:r>
      <w:r w:rsidR="007D094E" w:rsidRPr="00487553">
        <w:rPr>
          <w:rFonts w:asciiTheme="minorEastAsia" w:eastAsiaTheme="minorEastAsia" w:hAnsiTheme="minorEastAsia" w:hint="eastAsia"/>
          <w:kern w:val="0"/>
          <w:szCs w:val="21"/>
        </w:rPr>
        <w:t>0</w:t>
      </w:r>
      <w:r w:rsidRPr="00487553">
        <w:rPr>
          <w:rFonts w:asciiTheme="minorEastAsia" w:eastAsiaTheme="minorEastAsia" w:hAnsiTheme="minorEastAsia"/>
          <w:kern w:val="0"/>
          <w:szCs w:val="21"/>
        </w:rPr>
        <w:t>=38,0</w:t>
      </w:r>
      <w:r w:rsidRPr="00487553">
        <w:rPr>
          <w:rFonts w:asciiTheme="minorEastAsia" w:eastAsiaTheme="minorEastAsia" w:hAnsiTheme="minorEastAsia" w:hint="eastAsia"/>
          <w:kern w:val="0"/>
          <w:szCs w:val="21"/>
        </w:rPr>
        <w:t>05</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47</w:t>
      </w:r>
      <w:r w:rsidRPr="00487553">
        <w:rPr>
          <w:rFonts w:asciiTheme="minorEastAsia" w:eastAsiaTheme="minorEastAsia" w:hAnsiTheme="minorEastAsia"/>
          <w:kern w:val="0"/>
          <w:szCs w:val="21"/>
        </w:rPr>
        <w:t>份</w:t>
      </w:r>
    </w:p>
    <w:p w14:paraId="69C41D55" w14:textId="77777777" w:rsidR="0027589F" w:rsidRPr="00487553" w:rsidRDefault="0027589F" w:rsidP="00D94E68">
      <w:pPr>
        <w:autoSpaceDE w:val="0"/>
        <w:autoSpaceDN w:val="0"/>
        <w:adjustRightInd w:val="0"/>
        <w:snapToGrid w:val="0"/>
        <w:spacing w:line="360" w:lineRule="auto"/>
        <w:ind w:firstLineChars="218" w:firstLine="458"/>
        <w:jc w:val="left"/>
        <w:rPr>
          <w:rFonts w:asciiTheme="minorEastAsia" w:eastAsiaTheme="minorEastAsia" w:hAnsiTheme="minorEastAsia"/>
        </w:rPr>
      </w:pPr>
      <w:r w:rsidRPr="00487553">
        <w:rPr>
          <w:rFonts w:asciiTheme="minorEastAsia" w:eastAsiaTheme="minorEastAsia" w:hAnsiTheme="minorEastAsia" w:hint="eastAsia"/>
        </w:rPr>
        <w:t>例二：</w:t>
      </w:r>
      <w:r w:rsidRPr="00487553">
        <w:rPr>
          <w:rFonts w:asciiTheme="minorEastAsia" w:eastAsiaTheme="minorEastAsia" w:hAnsiTheme="minorEastAsia"/>
        </w:rPr>
        <w:t>某投资者</w:t>
      </w:r>
      <w:r w:rsidR="000E05D7" w:rsidRPr="00487553">
        <w:rPr>
          <w:rFonts w:asciiTheme="minorEastAsia" w:eastAsiaTheme="minorEastAsia" w:hAnsiTheme="minorEastAsia" w:hint="eastAsia"/>
          <w:kern w:val="0"/>
          <w:szCs w:val="21"/>
        </w:rPr>
        <w:t>（非特定投资群体）</w:t>
      </w:r>
      <w:r w:rsidRPr="00487553">
        <w:rPr>
          <w:rFonts w:asciiTheme="minorEastAsia" w:eastAsiaTheme="minorEastAsia" w:hAnsiTheme="minorEastAsia"/>
        </w:rPr>
        <w:t>投资</w:t>
      </w:r>
      <w:r w:rsidRPr="00487553">
        <w:rPr>
          <w:rFonts w:asciiTheme="minorEastAsia" w:eastAsiaTheme="minorEastAsia" w:hAnsiTheme="minorEastAsia" w:hint="eastAsia"/>
        </w:rPr>
        <w:t>4</w:t>
      </w:r>
      <w:r w:rsidRPr="00487553">
        <w:rPr>
          <w:rFonts w:asciiTheme="minorEastAsia" w:eastAsiaTheme="minorEastAsia" w:hAnsiTheme="minorEastAsia"/>
        </w:rPr>
        <w:t>万</w:t>
      </w:r>
      <w:r w:rsidRPr="00487553">
        <w:rPr>
          <w:rFonts w:asciiTheme="minorEastAsia" w:eastAsiaTheme="minorEastAsia" w:hAnsiTheme="minorEastAsia" w:hint="eastAsia"/>
        </w:rPr>
        <w:t>美元（美元现钞或美元现汇）申</w:t>
      </w:r>
      <w:r w:rsidRPr="00487553">
        <w:rPr>
          <w:rFonts w:asciiTheme="minorEastAsia" w:eastAsiaTheme="minorEastAsia" w:hAnsiTheme="minorEastAsia"/>
        </w:rPr>
        <w:t>购本基金</w:t>
      </w:r>
      <w:r w:rsidR="004751FC" w:rsidRPr="00487553">
        <w:rPr>
          <w:rFonts w:asciiTheme="minorEastAsia" w:eastAsiaTheme="minorEastAsia" w:hAnsiTheme="minorEastAsia"/>
          <w:kern w:val="0"/>
          <w:szCs w:val="21"/>
        </w:rPr>
        <w:t>(A类</w:t>
      </w:r>
      <w:r w:rsidR="004751FC" w:rsidRPr="00487553">
        <w:rPr>
          <w:rFonts w:asciiTheme="minorEastAsia" w:eastAsiaTheme="minorEastAsia" w:hAnsiTheme="minorEastAsia" w:hint="eastAsia"/>
          <w:kern w:val="0"/>
          <w:szCs w:val="21"/>
        </w:rPr>
        <w:t>美元现钞基金份额或</w:t>
      </w:r>
      <w:r w:rsidR="004751FC" w:rsidRPr="00487553">
        <w:rPr>
          <w:rFonts w:asciiTheme="minorEastAsia" w:eastAsiaTheme="minorEastAsia" w:hAnsiTheme="minorEastAsia"/>
          <w:kern w:val="0"/>
          <w:szCs w:val="21"/>
        </w:rPr>
        <w:t>A类</w:t>
      </w:r>
      <w:r w:rsidR="004751FC" w:rsidRPr="00487553">
        <w:rPr>
          <w:rFonts w:asciiTheme="minorEastAsia" w:eastAsiaTheme="minorEastAsia" w:hAnsiTheme="minorEastAsia" w:hint="eastAsia"/>
          <w:kern w:val="0"/>
          <w:szCs w:val="21"/>
        </w:rPr>
        <w:t>美元现汇基金份额</w:t>
      </w:r>
      <w:r w:rsidR="004751FC" w:rsidRPr="00487553">
        <w:rPr>
          <w:rFonts w:asciiTheme="minorEastAsia" w:eastAsiaTheme="minorEastAsia" w:hAnsiTheme="minorEastAsia"/>
          <w:kern w:val="0"/>
          <w:szCs w:val="21"/>
        </w:rPr>
        <w:t>)</w:t>
      </w:r>
      <w:r w:rsidRPr="00487553">
        <w:rPr>
          <w:rFonts w:asciiTheme="minorEastAsia" w:eastAsiaTheme="minorEastAsia" w:hAnsiTheme="minorEastAsia"/>
          <w:kern w:val="0"/>
          <w:szCs w:val="21"/>
        </w:rPr>
        <w:t>，申购费率为1</w:t>
      </w:r>
      <w:r w:rsidRPr="00487553">
        <w:rPr>
          <w:rFonts w:asciiTheme="minorEastAsia" w:eastAsiaTheme="minorEastAsia" w:hAnsiTheme="minorEastAsia" w:hint="eastAsia"/>
          <w:kern w:val="0"/>
          <w:szCs w:val="21"/>
        </w:rPr>
        <w:t>.2</w:t>
      </w:r>
      <w:r w:rsidRPr="00487553">
        <w:rPr>
          <w:rFonts w:asciiTheme="minorEastAsia" w:eastAsiaTheme="minorEastAsia" w:hAnsiTheme="minorEastAsia"/>
          <w:kern w:val="0"/>
          <w:szCs w:val="21"/>
        </w:rPr>
        <w:t>%</w:t>
      </w:r>
      <w:r w:rsidRPr="00487553">
        <w:rPr>
          <w:rFonts w:asciiTheme="minorEastAsia" w:eastAsiaTheme="minorEastAsia" w:hAnsiTheme="minorEastAsia"/>
        </w:rPr>
        <w:t>，</w:t>
      </w:r>
      <w:r w:rsidRPr="00487553">
        <w:rPr>
          <w:rFonts w:asciiTheme="minorEastAsia" w:eastAsiaTheme="minorEastAsia" w:hAnsiTheme="minorEastAsia"/>
          <w:kern w:val="0"/>
          <w:szCs w:val="21"/>
        </w:rPr>
        <w:t>假设申购当日</w:t>
      </w:r>
      <w:r w:rsidR="00A1139D" w:rsidRPr="00487553">
        <w:rPr>
          <w:rFonts w:asciiTheme="minorEastAsia" w:eastAsiaTheme="minorEastAsia" w:hAnsiTheme="minorEastAsia" w:hint="eastAsia"/>
          <w:kern w:val="0"/>
          <w:szCs w:val="21"/>
        </w:rPr>
        <w:t>A</w:t>
      </w:r>
      <w:r w:rsidR="00A1139D" w:rsidRPr="00487553">
        <w:rPr>
          <w:rFonts w:asciiTheme="minorEastAsia" w:eastAsiaTheme="minorEastAsia" w:hAnsiTheme="minorEastAsia"/>
          <w:kern w:val="0"/>
          <w:szCs w:val="21"/>
        </w:rPr>
        <w:t>类</w:t>
      </w:r>
      <w:r w:rsidRPr="00487553">
        <w:rPr>
          <w:rFonts w:asciiTheme="minorEastAsia" w:eastAsiaTheme="minorEastAsia" w:hAnsiTheme="minorEastAsia" w:hint="eastAsia"/>
        </w:rPr>
        <w:t>美元现钞或</w:t>
      </w:r>
      <w:r w:rsidR="00A1139D" w:rsidRPr="00487553">
        <w:rPr>
          <w:rFonts w:asciiTheme="minorEastAsia" w:eastAsiaTheme="minorEastAsia" w:hAnsiTheme="minorEastAsia" w:hint="eastAsia"/>
          <w:kern w:val="0"/>
          <w:szCs w:val="21"/>
        </w:rPr>
        <w:t>A</w:t>
      </w:r>
      <w:r w:rsidR="00A1139D" w:rsidRPr="00487553">
        <w:rPr>
          <w:rFonts w:asciiTheme="minorEastAsia" w:eastAsiaTheme="minorEastAsia" w:hAnsiTheme="minorEastAsia"/>
          <w:kern w:val="0"/>
          <w:szCs w:val="21"/>
        </w:rPr>
        <w:t>类</w:t>
      </w:r>
      <w:r w:rsidRPr="00487553">
        <w:rPr>
          <w:rFonts w:asciiTheme="minorEastAsia" w:eastAsiaTheme="minorEastAsia" w:hAnsiTheme="minorEastAsia" w:hint="eastAsia"/>
        </w:rPr>
        <w:t>美元现汇基金份额</w:t>
      </w:r>
      <w:r w:rsidRPr="00487553">
        <w:rPr>
          <w:rFonts w:asciiTheme="minorEastAsia" w:eastAsiaTheme="minorEastAsia" w:hAnsiTheme="minorEastAsia"/>
          <w:kern w:val="0"/>
          <w:szCs w:val="21"/>
        </w:rPr>
        <w:t>净值为</w:t>
      </w:r>
      <w:r w:rsidR="00DD2DCD" w:rsidRPr="00487553">
        <w:rPr>
          <w:rFonts w:asciiTheme="minorEastAsia" w:eastAsiaTheme="minorEastAsia" w:hAnsiTheme="minorEastAsia" w:hint="eastAsia"/>
          <w:kern w:val="0"/>
          <w:szCs w:val="21"/>
        </w:rPr>
        <w:t>0.1645</w:t>
      </w:r>
      <w:r w:rsidR="00E1213E" w:rsidRPr="00487553">
        <w:rPr>
          <w:rFonts w:asciiTheme="minorEastAsia" w:eastAsiaTheme="minorEastAsia" w:hAnsiTheme="minorEastAsia" w:hint="eastAsia"/>
          <w:kern w:val="0"/>
          <w:szCs w:val="21"/>
        </w:rPr>
        <w:t>美元</w:t>
      </w:r>
      <w:r w:rsidRPr="00487553">
        <w:rPr>
          <w:rFonts w:asciiTheme="minorEastAsia" w:eastAsiaTheme="minorEastAsia" w:hAnsiTheme="minorEastAsia"/>
          <w:kern w:val="0"/>
          <w:szCs w:val="21"/>
        </w:rPr>
        <w:t>，则其可得到的</w:t>
      </w:r>
      <w:r w:rsidR="00BA045C" w:rsidRPr="00487553">
        <w:rPr>
          <w:rFonts w:asciiTheme="minorEastAsia" w:eastAsiaTheme="minorEastAsia" w:hAnsiTheme="minorEastAsia" w:hint="eastAsia"/>
        </w:rPr>
        <w:t>美元（美元现钞或美元现汇）</w:t>
      </w:r>
      <w:r w:rsidRPr="00487553">
        <w:rPr>
          <w:rFonts w:asciiTheme="minorEastAsia" w:eastAsiaTheme="minorEastAsia" w:hAnsiTheme="minorEastAsia"/>
          <w:kern w:val="0"/>
          <w:szCs w:val="21"/>
        </w:rPr>
        <w:t>申购份额为</w:t>
      </w:r>
      <w:r w:rsidRPr="00487553">
        <w:rPr>
          <w:rFonts w:asciiTheme="minorEastAsia" w:eastAsiaTheme="minorEastAsia" w:hAnsiTheme="minorEastAsia"/>
        </w:rPr>
        <w:t>：</w:t>
      </w:r>
    </w:p>
    <w:p w14:paraId="23A626CD" w14:textId="77777777" w:rsidR="0027589F" w:rsidRPr="00487553" w:rsidRDefault="0027589F" w:rsidP="00D94E68">
      <w:pPr>
        <w:autoSpaceDE w:val="0"/>
        <w:autoSpaceDN w:val="0"/>
        <w:adjustRightInd w:val="0"/>
        <w:snapToGrid w:val="0"/>
        <w:spacing w:line="360" w:lineRule="auto"/>
        <w:ind w:firstLineChars="218" w:firstLine="458"/>
        <w:jc w:val="left"/>
        <w:rPr>
          <w:rFonts w:asciiTheme="minorEastAsia" w:eastAsiaTheme="minorEastAsia" w:hAnsiTheme="minorEastAsia"/>
        </w:rPr>
      </w:pPr>
      <w:r w:rsidRPr="00487553">
        <w:rPr>
          <w:rFonts w:asciiTheme="minorEastAsia" w:eastAsiaTheme="minorEastAsia" w:hAnsiTheme="minorEastAsia"/>
          <w:kern w:val="0"/>
          <w:szCs w:val="21"/>
        </w:rPr>
        <w:t>净申购金额=40,000/（1+1</w:t>
      </w:r>
      <w:r w:rsidRPr="00487553">
        <w:rPr>
          <w:rFonts w:asciiTheme="minorEastAsia" w:eastAsiaTheme="minorEastAsia" w:hAnsiTheme="minorEastAsia" w:hint="eastAsia"/>
          <w:kern w:val="0"/>
          <w:szCs w:val="21"/>
        </w:rPr>
        <w:t>.2</w:t>
      </w:r>
      <w:r w:rsidRPr="00487553">
        <w:rPr>
          <w:rFonts w:asciiTheme="minorEastAsia" w:eastAsiaTheme="minorEastAsia" w:hAnsiTheme="minorEastAsia"/>
          <w:kern w:val="0"/>
          <w:szCs w:val="21"/>
        </w:rPr>
        <w:t>%）=39,</w:t>
      </w:r>
      <w:r w:rsidRPr="00487553">
        <w:rPr>
          <w:rFonts w:asciiTheme="minorEastAsia" w:eastAsiaTheme="minorEastAsia" w:hAnsiTheme="minorEastAsia" w:hint="eastAsia"/>
          <w:kern w:val="0"/>
          <w:szCs w:val="21"/>
        </w:rPr>
        <w:t>525</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69</w:t>
      </w:r>
      <w:r w:rsidRPr="00487553">
        <w:rPr>
          <w:rFonts w:asciiTheme="minorEastAsia" w:eastAsiaTheme="minorEastAsia" w:hAnsiTheme="minorEastAsia" w:hint="eastAsia"/>
        </w:rPr>
        <w:t>美元</w:t>
      </w:r>
    </w:p>
    <w:p w14:paraId="382B4B42" w14:textId="77777777" w:rsidR="0027589F" w:rsidRPr="00487553" w:rsidRDefault="0027589F" w:rsidP="00D94E68">
      <w:pPr>
        <w:autoSpaceDE w:val="0"/>
        <w:autoSpaceDN w:val="0"/>
        <w:adjustRightInd w:val="0"/>
        <w:snapToGrid w:val="0"/>
        <w:spacing w:line="360" w:lineRule="auto"/>
        <w:ind w:firstLineChars="218" w:firstLine="458"/>
        <w:jc w:val="left"/>
        <w:rPr>
          <w:rFonts w:asciiTheme="minorEastAsia" w:eastAsiaTheme="minorEastAsia" w:hAnsiTheme="minorEastAsia"/>
        </w:rPr>
      </w:pPr>
      <w:r w:rsidRPr="00487553">
        <w:rPr>
          <w:rFonts w:asciiTheme="minorEastAsia" w:eastAsiaTheme="minorEastAsia" w:hAnsiTheme="minorEastAsia"/>
          <w:kern w:val="0"/>
          <w:szCs w:val="21"/>
        </w:rPr>
        <w:t>申购费用=40,000-39,</w:t>
      </w:r>
      <w:r w:rsidRPr="00487553">
        <w:rPr>
          <w:rFonts w:asciiTheme="minorEastAsia" w:eastAsiaTheme="minorEastAsia" w:hAnsiTheme="minorEastAsia" w:hint="eastAsia"/>
          <w:kern w:val="0"/>
          <w:szCs w:val="21"/>
        </w:rPr>
        <w:t>525</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69</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474</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31</w:t>
      </w:r>
      <w:r w:rsidRPr="00487553">
        <w:rPr>
          <w:rFonts w:asciiTheme="minorEastAsia" w:eastAsiaTheme="minorEastAsia" w:hAnsiTheme="minorEastAsia" w:hint="eastAsia"/>
        </w:rPr>
        <w:t>美元</w:t>
      </w:r>
    </w:p>
    <w:p w14:paraId="6FF2F313" w14:textId="68544259" w:rsidR="0027589F" w:rsidRPr="00487553" w:rsidRDefault="00E1213E" w:rsidP="00D94E68">
      <w:pPr>
        <w:autoSpaceDE w:val="0"/>
        <w:autoSpaceDN w:val="0"/>
        <w:adjustRightInd w:val="0"/>
        <w:snapToGrid w:val="0"/>
        <w:spacing w:line="360" w:lineRule="auto"/>
        <w:ind w:firstLineChars="218" w:firstLine="458"/>
        <w:jc w:val="left"/>
        <w:rPr>
          <w:rFonts w:asciiTheme="minorEastAsia" w:eastAsiaTheme="minorEastAsia" w:hAnsiTheme="minorEastAsia"/>
        </w:rPr>
      </w:pPr>
      <w:r w:rsidRPr="00487553">
        <w:rPr>
          <w:rFonts w:asciiTheme="minorEastAsia" w:eastAsiaTheme="minorEastAsia" w:hAnsiTheme="minorEastAsia" w:hint="eastAsia"/>
        </w:rPr>
        <w:t>申</w:t>
      </w:r>
      <w:r w:rsidR="0027589F" w:rsidRPr="00487553">
        <w:rPr>
          <w:rFonts w:asciiTheme="minorEastAsia" w:eastAsiaTheme="minorEastAsia" w:hAnsiTheme="minorEastAsia"/>
        </w:rPr>
        <w:t>购份额=</w:t>
      </w:r>
      <w:r w:rsidR="00DD2DCD" w:rsidRPr="00487553">
        <w:rPr>
          <w:rFonts w:asciiTheme="minorEastAsia" w:eastAsiaTheme="minorEastAsia" w:hAnsiTheme="minorEastAsia"/>
          <w:kern w:val="0"/>
          <w:szCs w:val="21"/>
        </w:rPr>
        <w:t>39,</w:t>
      </w:r>
      <w:r w:rsidR="00DD2DCD" w:rsidRPr="00487553">
        <w:rPr>
          <w:rFonts w:asciiTheme="minorEastAsia" w:eastAsiaTheme="minorEastAsia" w:hAnsiTheme="minorEastAsia" w:hint="eastAsia"/>
          <w:kern w:val="0"/>
          <w:szCs w:val="21"/>
        </w:rPr>
        <w:t>525.69</w:t>
      </w:r>
      <w:r w:rsidR="0027589F" w:rsidRPr="00487553">
        <w:rPr>
          <w:rFonts w:asciiTheme="minorEastAsia" w:eastAsiaTheme="minorEastAsia" w:hAnsiTheme="minorEastAsia"/>
        </w:rPr>
        <w:t>/</w:t>
      </w:r>
      <w:r w:rsidR="00DD2DCD" w:rsidRPr="00487553">
        <w:rPr>
          <w:rFonts w:asciiTheme="minorEastAsia" w:eastAsiaTheme="minorEastAsia" w:hAnsiTheme="minorEastAsia" w:hint="eastAsia"/>
          <w:kern w:val="0"/>
          <w:szCs w:val="21"/>
        </w:rPr>
        <w:t>0.1645</w:t>
      </w:r>
      <w:r w:rsidR="0027589F" w:rsidRPr="00487553">
        <w:rPr>
          <w:rFonts w:asciiTheme="minorEastAsia" w:eastAsiaTheme="minorEastAsia" w:hAnsiTheme="minorEastAsia"/>
        </w:rPr>
        <w:t>=</w:t>
      </w:r>
      <w:r w:rsidR="00DD2DCD" w:rsidRPr="00487553">
        <w:rPr>
          <w:rFonts w:asciiTheme="minorEastAsia" w:eastAsiaTheme="minorEastAsia" w:hAnsiTheme="minorEastAsia" w:hint="eastAsia"/>
        </w:rPr>
        <w:t>240</w:t>
      </w:r>
      <w:r w:rsidR="00881EE6" w:rsidRPr="00487553">
        <w:rPr>
          <w:rFonts w:asciiTheme="minorEastAsia" w:eastAsiaTheme="minorEastAsia" w:hAnsiTheme="minorEastAsia" w:hint="eastAsia"/>
        </w:rPr>
        <w:t>,</w:t>
      </w:r>
      <w:r w:rsidR="00DD2DCD" w:rsidRPr="00487553">
        <w:rPr>
          <w:rFonts w:asciiTheme="minorEastAsia" w:eastAsiaTheme="minorEastAsia" w:hAnsiTheme="minorEastAsia" w:hint="eastAsia"/>
        </w:rPr>
        <w:t>277.75</w:t>
      </w:r>
      <w:r w:rsidR="0027589F" w:rsidRPr="00487553">
        <w:rPr>
          <w:rFonts w:asciiTheme="minorEastAsia" w:eastAsiaTheme="minorEastAsia" w:hAnsiTheme="minorEastAsia"/>
        </w:rPr>
        <w:t>份</w:t>
      </w:r>
    </w:p>
    <w:p w14:paraId="56640069" w14:textId="03823E1B" w:rsidR="000E05D7" w:rsidRPr="00487553" w:rsidRDefault="000E05D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rPr>
        <w:t>例三：某投资者（特定投资群体）通过本管理人的直销中心投资</w:t>
      </w:r>
      <w:r w:rsidRPr="00487553">
        <w:rPr>
          <w:rFonts w:asciiTheme="minorEastAsia" w:eastAsiaTheme="minorEastAsia" w:hAnsiTheme="minorEastAsia"/>
        </w:rPr>
        <w:t>10</w:t>
      </w:r>
      <w:r w:rsidRPr="00487553">
        <w:rPr>
          <w:rFonts w:asciiTheme="minorEastAsia" w:eastAsiaTheme="minorEastAsia" w:hAnsiTheme="minorEastAsia" w:hint="eastAsia"/>
        </w:rPr>
        <w:t>万元人民币申购本基金</w:t>
      </w:r>
      <w:r w:rsidR="004B1F06" w:rsidRPr="00487553">
        <w:rPr>
          <w:rFonts w:asciiTheme="minorEastAsia" w:eastAsiaTheme="minorEastAsia" w:hAnsiTheme="minorEastAsia" w:hint="eastAsia"/>
          <w:kern w:val="0"/>
          <w:szCs w:val="21"/>
        </w:rPr>
        <w:t>A类人民币基金份额</w:t>
      </w:r>
      <w:r w:rsidRPr="00487553">
        <w:rPr>
          <w:rFonts w:asciiTheme="minorEastAsia" w:eastAsiaTheme="minorEastAsia" w:hAnsiTheme="minorEastAsia" w:hint="eastAsia"/>
        </w:rPr>
        <w:t>，</w:t>
      </w:r>
      <w:r w:rsidRPr="00487553">
        <w:rPr>
          <w:rFonts w:asciiTheme="minorEastAsia" w:eastAsiaTheme="minorEastAsia" w:hAnsiTheme="minorEastAsia" w:hint="eastAsia"/>
          <w:kern w:val="0"/>
          <w:szCs w:val="21"/>
        </w:rPr>
        <w:t>申购费率为</w:t>
      </w:r>
      <w:r w:rsidRPr="00487553">
        <w:rPr>
          <w:rFonts w:asciiTheme="minorEastAsia" w:eastAsiaTheme="minorEastAsia" w:hAnsiTheme="minorEastAsia"/>
          <w:kern w:val="0"/>
          <w:szCs w:val="21"/>
        </w:rPr>
        <w:t>0.12%</w:t>
      </w:r>
      <w:r w:rsidRPr="00487553">
        <w:rPr>
          <w:rFonts w:asciiTheme="minorEastAsia" w:eastAsiaTheme="minorEastAsia" w:hAnsiTheme="minorEastAsia" w:hint="eastAsia"/>
          <w:kern w:val="0"/>
          <w:szCs w:val="21"/>
        </w:rPr>
        <w:t>，假设申购当日</w:t>
      </w:r>
      <w:r w:rsidR="004B1F06" w:rsidRPr="00487553">
        <w:rPr>
          <w:rFonts w:asciiTheme="minorEastAsia" w:eastAsiaTheme="minorEastAsia" w:hAnsiTheme="minorEastAsia" w:hint="eastAsia"/>
          <w:kern w:val="0"/>
          <w:szCs w:val="21"/>
        </w:rPr>
        <w:t>A类</w:t>
      </w:r>
      <w:r w:rsidRPr="00487553">
        <w:rPr>
          <w:rFonts w:asciiTheme="minorEastAsia" w:eastAsiaTheme="minorEastAsia" w:hAnsiTheme="minorEastAsia" w:hint="eastAsia"/>
          <w:kern w:val="0"/>
          <w:szCs w:val="21"/>
        </w:rPr>
        <w:t>人民币基金份额净值为</w:t>
      </w:r>
      <w:r w:rsidRPr="00487553">
        <w:rPr>
          <w:rFonts w:asciiTheme="minorEastAsia" w:eastAsiaTheme="minorEastAsia" w:hAnsiTheme="minorEastAsia"/>
          <w:kern w:val="0"/>
          <w:szCs w:val="21"/>
        </w:rPr>
        <w:t>1.0400</w:t>
      </w:r>
      <w:r w:rsidRPr="00487553">
        <w:rPr>
          <w:rFonts w:asciiTheme="minorEastAsia" w:eastAsiaTheme="minorEastAsia" w:hAnsiTheme="minorEastAsia" w:hint="eastAsia"/>
          <w:kern w:val="0"/>
          <w:szCs w:val="21"/>
        </w:rPr>
        <w:t>元人民币，则其可得到的</w:t>
      </w:r>
      <w:r w:rsidR="004B1F06" w:rsidRPr="00487553">
        <w:rPr>
          <w:rFonts w:asciiTheme="minorEastAsia" w:eastAsiaTheme="minorEastAsia" w:hAnsiTheme="minorEastAsia" w:hint="eastAsia"/>
          <w:kern w:val="0"/>
          <w:szCs w:val="21"/>
        </w:rPr>
        <w:t>A类</w:t>
      </w:r>
      <w:r w:rsidRPr="00487553">
        <w:rPr>
          <w:rFonts w:asciiTheme="minorEastAsia" w:eastAsiaTheme="minorEastAsia" w:hAnsiTheme="minorEastAsia" w:hint="eastAsia"/>
          <w:kern w:val="0"/>
          <w:szCs w:val="21"/>
        </w:rPr>
        <w:t>人民币</w:t>
      </w:r>
      <w:r w:rsidR="004B1F06" w:rsidRPr="00487553">
        <w:rPr>
          <w:rFonts w:asciiTheme="minorEastAsia" w:eastAsiaTheme="minorEastAsia" w:hAnsiTheme="minorEastAsia" w:hint="eastAsia"/>
          <w:kern w:val="0"/>
          <w:szCs w:val="21"/>
        </w:rPr>
        <w:t>基金</w:t>
      </w:r>
      <w:r w:rsidR="004B1F06" w:rsidRPr="00487553">
        <w:rPr>
          <w:rFonts w:asciiTheme="minorEastAsia" w:eastAsiaTheme="minorEastAsia" w:hAnsiTheme="minorEastAsia"/>
          <w:kern w:val="0"/>
          <w:szCs w:val="21"/>
        </w:rPr>
        <w:t>份额</w:t>
      </w:r>
      <w:r w:rsidRPr="00487553">
        <w:rPr>
          <w:rFonts w:asciiTheme="minorEastAsia" w:eastAsiaTheme="minorEastAsia" w:hAnsiTheme="minorEastAsia" w:hint="eastAsia"/>
          <w:kern w:val="0"/>
          <w:szCs w:val="21"/>
        </w:rPr>
        <w:t>申购份额为：</w:t>
      </w:r>
    </w:p>
    <w:p w14:paraId="5570942F" w14:textId="36954942" w:rsidR="000E05D7" w:rsidRPr="00487553" w:rsidRDefault="000E05D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净申购金额</w:t>
      </w:r>
      <w:r w:rsidRPr="00487553">
        <w:rPr>
          <w:rFonts w:asciiTheme="minorEastAsia" w:eastAsiaTheme="minorEastAsia" w:hAnsiTheme="minorEastAsia"/>
          <w:kern w:val="0"/>
          <w:szCs w:val="21"/>
        </w:rPr>
        <w:t>=100,000/</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1+0.12%</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=99,880.14</w:t>
      </w:r>
      <w:r w:rsidRPr="00487553">
        <w:rPr>
          <w:rFonts w:asciiTheme="minorEastAsia" w:eastAsiaTheme="minorEastAsia" w:hAnsiTheme="minorEastAsia" w:hint="eastAsia"/>
          <w:kern w:val="0"/>
          <w:szCs w:val="21"/>
        </w:rPr>
        <w:t>元人民币</w:t>
      </w:r>
    </w:p>
    <w:p w14:paraId="5AF1B952" w14:textId="18282C57" w:rsidR="000E05D7" w:rsidRPr="00487553" w:rsidRDefault="000E05D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申购费用</w:t>
      </w:r>
      <w:r w:rsidRPr="00487553">
        <w:rPr>
          <w:rFonts w:asciiTheme="minorEastAsia" w:eastAsiaTheme="minorEastAsia" w:hAnsiTheme="minorEastAsia"/>
          <w:kern w:val="0"/>
          <w:szCs w:val="21"/>
        </w:rPr>
        <w:t>=100,000-99,880.14=119.86</w:t>
      </w:r>
      <w:r w:rsidRPr="00487553">
        <w:rPr>
          <w:rFonts w:asciiTheme="minorEastAsia" w:eastAsiaTheme="minorEastAsia" w:hAnsiTheme="minorEastAsia" w:hint="eastAsia"/>
          <w:kern w:val="0"/>
          <w:szCs w:val="21"/>
        </w:rPr>
        <w:t>元人民币</w:t>
      </w:r>
    </w:p>
    <w:p w14:paraId="065F6E5C" w14:textId="77777777" w:rsidR="000E05D7" w:rsidRPr="00487553" w:rsidRDefault="000E05D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申购份额</w:t>
      </w:r>
      <w:r w:rsidRPr="00487553">
        <w:rPr>
          <w:rFonts w:asciiTheme="minorEastAsia" w:eastAsiaTheme="minorEastAsia" w:hAnsiTheme="minorEastAsia"/>
          <w:kern w:val="0"/>
          <w:szCs w:val="21"/>
        </w:rPr>
        <w:t>=99,880.14/1.0400=96,038.60</w:t>
      </w:r>
      <w:r w:rsidRPr="00487553">
        <w:rPr>
          <w:rFonts w:asciiTheme="minorEastAsia" w:eastAsiaTheme="minorEastAsia" w:hAnsiTheme="minorEastAsia" w:hint="eastAsia"/>
          <w:kern w:val="0"/>
          <w:szCs w:val="21"/>
        </w:rPr>
        <w:t>份</w:t>
      </w:r>
    </w:p>
    <w:p w14:paraId="161984A9" w14:textId="77777777" w:rsidR="00154491" w:rsidRPr="00487553" w:rsidRDefault="00154491"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申购费用以人民币元</w:t>
      </w:r>
      <w:r w:rsidR="00502123" w:rsidRPr="00487553">
        <w:rPr>
          <w:rFonts w:asciiTheme="minorEastAsia" w:eastAsiaTheme="minorEastAsia" w:hAnsiTheme="minorEastAsia" w:hint="eastAsia"/>
          <w:szCs w:val="21"/>
        </w:rPr>
        <w:t>或美元</w:t>
      </w:r>
      <w:r w:rsidRPr="00487553">
        <w:rPr>
          <w:rFonts w:asciiTheme="minorEastAsia" w:eastAsiaTheme="minorEastAsia" w:hAnsiTheme="minorEastAsia" w:hint="eastAsia"/>
          <w:szCs w:val="21"/>
        </w:rPr>
        <w:t>为单位，四舍五入，保留至小数点后二位；申购份额采取四舍五入的方法保留小数点后二位，由此误差产生的损失由基金财产承担，产生的收益归基金财产所有。</w:t>
      </w:r>
    </w:p>
    <w:p w14:paraId="6C02F493" w14:textId="77777777" w:rsidR="005F7844" w:rsidRPr="00487553" w:rsidRDefault="0076638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391D11" w:rsidRPr="00487553">
        <w:rPr>
          <w:rFonts w:asciiTheme="minorEastAsia" w:eastAsiaTheme="minorEastAsia" w:hAnsiTheme="minorEastAsia"/>
          <w:kern w:val="0"/>
          <w:szCs w:val="21"/>
        </w:rPr>
        <w:t>、赎回金额的计算</w:t>
      </w:r>
    </w:p>
    <w:p w14:paraId="486D998C" w14:textId="77777777" w:rsidR="00FF0BC0" w:rsidRPr="00487553" w:rsidRDefault="00FF0BC0"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赎回费用=赎回份额×T日基金份额净值×赎回费率</w:t>
      </w:r>
    </w:p>
    <w:p w14:paraId="2FA86A4D" w14:textId="77777777" w:rsidR="00FF0BC0" w:rsidRPr="00487553" w:rsidRDefault="00FF0BC0"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赎回金额=赎回份额×T日基金份额净值-赎回费用</w:t>
      </w:r>
    </w:p>
    <w:p w14:paraId="6B02C8AA" w14:textId="77777777" w:rsidR="00FF0BC0" w:rsidRPr="00487553" w:rsidRDefault="00C80B04"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例</w:t>
      </w:r>
      <w:r w:rsidR="00F25C74" w:rsidRPr="00487553">
        <w:rPr>
          <w:rFonts w:asciiTheme="minorEastAsia" w:eastAsiaTheme="minorEastAsia" w:hAnsiTheme="minorEastAsia" w:hint="eastAsia"/>
          <w:kern w:val="0"/>
          <w:szCs w:val="21"/>
        </w:rPr>
        <w:t>四</w:t>
      </w:r>
      <w:r w:rsidR="00FF0BC0" w:rsidRPr="00487553">
        <w:rPr>
          <w:rFonts w:asciiTheme="minorEastAsia" w:eastAsiaTheme="minorEastAsia" w:hAnsiTheme="minorEastAsia"/>
          <w:kern w:val="0"/>
          <w:szCs w:val="21"/>
        </w:rPr>
        <w:t>：某投资</w:t>
      </w:r>
      <w:r w:rsidR="00FF0BC0" w:rsidRPr="00487553">
        <w:rPr>
          <w:rFonts w:asciiTheme="minorEastAsia" w:eastAsiaTheme="minorEastAsia" w:hAnsiTheme="minorEastAsia"/>
        </w:rPr>
        <w:t>者T日</w:t>
      </w:r>
      <w:r w:rsidR="00FF0BC0" w:rsidRPr="00487553">
        <w:rPr>
          <w:rFonts w:asciiTheme="minorEastAsia" w:eastAsiaTheme="minorEastAsia" w:hAnsiTheme="minorEastAsia"/>
          <w:kern w:val="0"/>
          <w:szCs w:val="21"/>
        </w:rPr>
        <w:t>赎回1万份</w:t>
      </w:r>
      <w:r w:rsidR="009811D1" w:rsidRPr="00487553">
        <w:rPr>
          <w:rFonts w:asciiTheme="minorEastAsia" w:eastAsiaTheme="minorEastAsia" w:hAnsiTheme="minorEastAsia" w:hint="eastAsia"/>
          <w:kern w:val="0"/>
          <w:szCs w:val="21"/>
        </w:rPr>
        <w:t>A</w:t>
      </w:r>
      <w:r w:rsidR="009811D1" w:rsidRPr="00487553">
        <w:rPr>
          <w:rFonts w:asciiTheme="minorEastAsia" w:eastAsiaTheme="minorEastAsia" w:hAnsiTheme="minorEastAsia"/>
          <w:kern w:val="0"/>
          <w:szCs w:val="21"/>
        </w:rPr>
        <w:t>类</w:t>
      </w:r>
      <w:r w:rsidR="00C0793C" w:rsidRPr="00487553">
        <w:rPr>
          <w:rFonts w:asciiTheme="minorEastAsia" w:eastAsiaTheme="minorEastAsia" w:hAnsiTheme="minorEastAsia" w:hint="eastAsia"/>
          <w:kern w:val="0"/>
          <w:szCs w:val="21"/>
        </w:rPr>
        <w:t>人民币</w:t>
      </w:r>
      <w:r w:rsidR="00FF0BC0" w:rsidRPr="00487553">
        <w:rPr>
          <w:rFonts w:asciiTheme="minorEastAsia" w:eastAsiaTheme="minorEastAsia" w:hAnsiTheme="minorEastAsia"/>
          <w:kern w:val="0"/>
          <w:szCs w:val="21"/>
        </w:rPr>
        <w:t>基金份额，对应的赎回费率为0.</w:t>
      </w:r>
      <w:r w:rsidR="00FF0BC0" w:rsidRPr="00487553">
        <w:rPr>
          <w:rFonts w:asciiTheme="minorEastAsia" w:eastAsiaTheme="minorEastAsia" w:hAnsiTheme="minorEastAsia" w:hint="eastAsia"/>
          <w:kern w:val="0"/>
          <w:szCs w:val="21"/>
        </w:rPr>
        <w:t>5</w:t>
      </w:r>
      <w:r w:rsidR="00FF0BC0" w:rsidRPr="00487553">
        <w:rPr>
          <w:rFonts w:asciiTheme="minorEastAsia" w:eastAsiaTheme="minorEastAsia" w:hAnsiTheme="minorEastAsia"/>
          <w:kern w:val="0"/>
          <w:szCs w:val="21"/>
        </w:rPr>
        <w:t>%，</w:t>
      </w:r>
      <w:r w:rsidR="00FF0BC0" w:rsidRPr="00487553">
        <w:rPr>
          <w:rFonts w:asciiTheme="minorEastAsia" w:eastAsiaTheme="minorEastAsia" w:hAnsiTheme="minorEastAsia"/>
        </w:rPr>
        <w:t>T日</w:t>
      </w:r>
      <w:r w:rsidR="00E82643" w:rsidRPr="00487553">
        <w:rPr>
          <w:rFonts w:asciiTheme="minorEastAsia" w:eastAsiaTheme="minorEastAsia" w:hAnsiTheme="minorEastAsia" w:hint="eastAsia"/>
        </w:rPr>
        <w:t>A</w:t>
      </w:r>
      <w:r w:rsidR="00E82643" w:rsidRPr="00487553">
        <w:rPr>
          <w:rFonts w:asciiTheme="minorEastAsia" w:eastAsiaTheme="minorEastAsia" w:hAnsiTheme="minorEastAsia"/>
        </w:rPr>
        <w:t>类</w:t>
      </w:r>
      <w:r w:rsidR="00C0793C" w:rsidRPr="00487553">
        <w:rPr>
          <w:rFonts w:asciiTheme="minorEastAsia" w:eastAsiaTheme="minorEastAsia" w:hAnsiTheme="minorEastAsia" w:hint="eastAsia"/>
        </w:rPr>
        <w:t>人民币</w:t>
      </w:r>
      <w:r w:rsidR="00FF0BC0" w:rsidRPr="00487553">
        <w:rPr>
          <w:rFonts w:asciiTheme="minorEastAsia" w:eastAsiaTheme="minorEastAsia" w:hAnsiTheme="minorEastAsia"/>
          <w:kern w:val="0"/>
          <w:szCs w:val="21"/>
        </w:rPr>
        <w:t>基金份额净值是1.016</w:t>
      </w:r>
      <w:r w:rsidR="00461C2E" w:rsidRPr="00487553">
        <w:rPr>
          <w:rFonts w:asciiTheme="minorEastAsia" w:eastAsiaTheme="minorEastAsia" w:hAnsiTheme="minorEastAsia" w:hint="eastAsia"/>
          <w:kern w:val="0"/>
          <w:szCs w:val="21"/>
        </w:rPr>
        <w:t>0</w:t>
      </w:r>
      <w:r w:rsidR="00FF0BC0" w:rsidRPr="00487553">
        <w:rPr>
          <w:rFonts w:asciiTheme="minorEastAsia" w:eastAsiaTheme="minorEastAsia" w:hAnsiTheme="minorEastAsia"/>
          <w:kern w:val="0"/>
          <w:szCs w:val="21"/>
        </w:rPr>
        <w:t>元</w:t>
      </w:r>
      <w:r w:rsidR="006F43DA" w:rsidRPr="00487553">
        <w:rPr>
          <w:rFonts w:asciiTheme="minorEastAsia" w:eastAsiaTheme="minorEastAsia" w:hAnsiTheme="minorEastAsia" w:hint="eastAsia"/>
          <w:kern w:val="0"/>
          <w:szCs w:val="21"/>
        </w:rPr>
        <w:t>人民币</w:t>
      </w:r>
      <w:r w:rsidR="00FF0BC0" w:rsidRPr="00487553">
        <w:rPr>
          <w:rFonts w:asciiTheme="minorEastAsia" w:eastAsiaTheme="minorEastAsia" w:hAnsiTheme="minorEastAsia"/>
          <w:kern w:val="0"/>
          <w:szCs w:val="21"/>
        </w:rPr>
        <w:t>，则其可得到的赎回金额</w:t>
      </w:r>
      <w:r w:rsidR="00FF0BC0" w:rsidRPr="00487553">
        <w:rPr>
          <w:rFonts w:asciiTheme="minorEastAsia" w:eastAsiaTheme="minorEastAsia" w:hAnsiTheme="minorEastAsia"/>
        </w:rPr>
        <w:t>计算如下</w:t>
      </w:r>
      <w:r w:rsidR="00FF0BC0" w:rsidRPr="00487553">
        <w:rPr>
          <w:rFonts w:asciiTheme="minorEastAsia" w:eastAsiaTheme="minorEastAsia" w:hAnsiTheme="minorEastAsia"/>
          <w:kern w:val="0"/>
          <w:szCs w:val="21"/>
        </w:rPr>
        <w:t>：</w:t>
      </w:r>
    </w:p>
    <w:p w14:paraId="64D9008A" w14:textId="3B3038C6" w:rsidR="00FF0BC0"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szCs w:val="21"/>
        </w:rPr>
        <w:lastRenderedPageBreak/>
        <w:t>赎回费用=</w:t>
      </w:r>
      <w:r w:rsidRPr="00487553">
        <w:rPr>
          <w:rFonts w:asciiTheme="minorEastAsia" w:eastAsiaTheme="minorEastAsia" w:hAnsiTheme="minorEastAsia"/>
          <w:kern w:val="0"/>
          <w:szCs w:val="21"/>
        </w:rPr>
        <w:t>10,000×1.016</w:t>
      </w:r>
      <w:r w:rsidR="00461C2E" w:rsidRPr="00487553">
        <w:rPr>
          <w:rFonts w:asciiTheme="minorEastAsia" w:eastAsiaTheme="minorEastAsia" w:hAnsiTheme="minorEastAsia" w:hint="eastAsia"/>
          <w:kern w:val="0"/>
          <w:szCs w:val="21"/>
        </w:rPr>
        <w:t>0</w:t>
      </w:r>
      <w:r w:rsidRPr="00487553">
        <w:rPr>
          <w:rFonts w:asciiTheme="minorEastAsia" w:eastAsiaTheme="minorEastAsia" w:hAnsiTheme="minorEastAsia"/>
          <w:szCs w:val="21"/>
        </w:rPr>
        <w:t>×0.</w:t>
      </w:r>
      <w:r w:rsidRPr="00487553">
        <w:rPr>
          <w:rFonts w:asciiTheme="minorEastAsia" w:eastAsiaTheme="minorEastAsia" w:hAnsiTheme="minorEastAsia" w:hint="eastAsia"/>
          <w:szCs w:val="21"/>
        </w:rPr>
        <w:t>5</w:t>
      </w:r>
      <w:r w:rsidRPr="00487553">
        <w:rPr>
          <w:rFonts w:asciiTheme="minorEastAsia" w:eastAsiaTheme="minorEastAsia" w:hAnsiTheme="minorEastAsia"/>
          <w:szCs w:val="21"/>
        </w:rPr>
        <w:t>%</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50</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80</w:t>
      </w:r>
      <w:r w:rsidRPr="00487553">
        <w:rPr>
          <w:rFonts w:asciiTheme="minorEastAsia" w:eastAsiaTheme="minorEastAsia" w:hAnsiTheme="minorEastAsia"/>
          <w:kern w:val="0"/>
          <w:szCs w:val="21"/>
        </w:rPr>
        <w:t>元</w:t>
      </w:r>
      <w:r w:rsidR="006F43DA" w:rsidRPr="00487553">
        <w:rPr>
          <w:rFonts w:asciiTheme="minorEastAsia" w:eastAsiaTheme="minorEastAsia" w:hAnsiTheme="minorEastAsia" w:hint="eastAsia"/>
          <w:kern w:val="0"/>
          <w:szCs w:val="21"/>
        </w:rPr>
        <w:t>人民币</w:t>
      </w:r>
    </w:p>
    <w:p w14:paraId="73F6A5CA" w14:textId="444F3052" w:rsidR="00FF0BC0" w:rsidRPr="00487553" w:rsidRDefault="00FF0B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szCs w:val="21"/>
        </w:rPr>
        <w:t>赎回金额</w:t>
      </w:r>
      <w:r w:rsidRPr="00487553">
        <w:rPr>
          <w:rFonts w:asciiTheme="minorEastAsia" w:eastAsiaTheme="minorEastAsia" w:hAnsiTheme="minorEastAsia"/>
          <w:kern w:val="0"/>
          <w:szCs w:val="21"/>
        </w:rPr>
        <w:t>=10,000×1.016</w:t>
      </w:r>
      <w:r w:rsidR="00461C2E" w:rsidRPr="00487553">
        <w:rPr>
          <w:rFonts w:asciiTheme="minorEastAsia" w:eastAsiaTheme="minorEastAsia" w:hAnsiTheme="minorEastAsia" w:hint="eastAsia"/>
          <w:kern w:val="0"/>
          <w:szCs w:val="21"/>
        </w:rPr>
        <w:t>0</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5</w:t>
      </w:r>
      <w:r w:rsidRPr="00487553">
        <w:rPr>
          <w:rFonts w:asciiTheme="minorEastAsia" w:eastAsiaTheme="minorEastAsia" w:hAnsiTheme="minorEastAsia"/>
          <w:kern w:val="0"/>
          <w:szCs w:val="21"/>
        </w:rPr>
        <w:t>0.</w:t>
      </w:r>
      <w:r w:rsidRPr="00487553">
        <w:rPr>
          <w:rFonts w:asciiTheme="minorEastAsia" w:eastAsiaTheme="minorEastAsia" w:hAnsiTheme="minorEastAsia" w:hint="eastAsia"/>
          <w:kern w:val="0"/>
          <w:szCs w:val="21"/>
        </w:rPr>
        <w:t>80</w:t>
      </w:r>
      <w:r w:rsidRPr="00487553">
        <w:rPr>
          <w:rFonts w:asciiTheme="minorEastAsia" w:eastAsiaTheme="minorEastAsia" w:hAnsiTheme="minorEastAsia"/>
          <w:kern w:val="0"/>
          <w:szCs w:val="21"/>
        </w:rPr>
        <w:t>=10,1</w:t>
      </w:r>
      <w:r w:rsidRPr="00487553">
        <w:rPr>
          <w:rFonts w:asciiTheme="minorEastAsia" w:eastAsiaTheme="minorEastAsia" w:hAnsiTheme="minorEastAsia" w:hint="eastAsia"/>
          <w:kern w:val="0"/>
          <w:szCs w:val="21"/>
        </w:rPr>
        <w:t>09</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20</w:t>
      </w:r>
      <w:r w:rsidRPr="00487553">
        <w:rPr>
          <w:rFonts w:asciiTheme="minorEastAsia" w:eastAsiaTheme="minorEastAsia" w:hAnsiTheme="minorEastAsia"/>
          <w:kern w:val="0"/>
          <w:szCs w:val="21"/>
        </w:rPr>
        <w:t>元</w:t>
      </w:r>
      <w:r w:rsidR="006F43DA" w:rsidRPr="00487553">
        <w:rPr>
          <w:rFonts w:asciiTheme="minorEastAsia" w:eastAsiaTheme="minorEastAsia" w:hAnsiTheme="minorEastAsia" w:hint="eastAsia"/>
          <w:kern w:val="0"/>
          <w:szCs w:val="21"/>
        </w:rPr>
        <w:t>人民币</w:t>
      </w:r>
    </w:p>
    <w:p w14:paraId="584339A8" w14:textId="77777777" w:rsidR="00C80B04" w:rsidRPr="00487553" w:rsidRDefault="00C80B04"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例</w:t>
      </w:r>
      <w:r w:rsidR="00F25C74" w:rsidRPr="00487553">
        <w:rPr>
          <w:rFonts w:asciiTheme="minorEastAsia" w:eastAsiaTheme="minorEastAsia" w:hAnsiTheme="minorEastAsia" w:hint="eastAsia"/>
          <w:kern w:val="0"/>
          <w:szCs w:val="21"/>
        </w:rPr>
        <w:t>五</w:t>
      </w:r>
      <w:r w:rsidRPr="00487553">
        <w:rPr>
          <w:rFonts w:asciiTheme="minorEastAsia" w:eastAsiaTheme="minorEastAsia" w:hAnsiTheme="minorEastAsia"/>
          <w:kern w:val="0"/>
          <w:szCs w:val="21"/>
        </w:rPr>
        <w:t>：某投资</w:t>
      </w:r>
      <w:r w:rsidRPr="00487553">
        <w:rPr>
          <w:rFonts w:asciiTheme="minorEastAsia" w:eastAsiaTheme="minorEastAsia" w:hAnsiTheme="minorEastAsia"/>
        </w:rPr>
        <w:t>者T日</w:t>
      </w:r>
      <w:r w:rsidRPr="00487553">
        <w:rPr>
          <w:rFonts w:asciiTheme="minorEastAsia" w:eastAsiaTheme="minorEastAsia" w:hAnsiTheme="minorEastAsia"/>
          <w:kern w:val="0"/>
          <w:szCs w:val="21"/>
        </w:rPr>
        <w:t>赎回1万份</w:t>
      </w:r>
      <w:r w:rsidR="009E5739" w:rsidRPr="00487553">
        <w:rPr>
          <w:rFonts w:asciiTheme="minorEastAsia" w:eastAsiaTheme="minorEastAsia" w:hAnsiTheme="minorEastAsia" w:hint="eastAsia"/>
          <w:kern w:val="0"/>
          <w:szCs w:val="21"/>
        </w:rPr>
        <w:t>A</w:t>
      </w:r>
      <w:r w:rsidR="009E5739" w:rsidRPr="00487553">
        <w:rPr>
          <w:rFonts w:asciiTheme="minorEastAsia" w:eastAsiaTheme="minorEastAsia" w:hAnsiTheme="minorEastAsia"/>
          <w:kern w:val="0"/>
          <w:szCs w:val="21"/>
        </w:rPr>
        <w:t>类</w:t>
      </w:r>
      <w:r w:rsidR="00BA6960" w:rsidRPr="00487553">
        <w:rPr>
          <w:rFonts w:asciiTheme="minorEastAsia" w:eastAsiaTheme="minorEastAsia" w:hAnsiTheme="minorEastAsia" w:hint="eastAsia"/>
          <w:kern w:val="0"/>
          <w:szCs w:val="21"/>
        </w:rPr>
        <w:t>美元现钞或</w:t>
      </w:r>
      <w:r w:rsidR="009E5739" w:rsidRPr="00487553">
        <w:rPr>
          <w:rFonts w:asciiTheme="minorEastAsia" w:eastAsiaTheme="minorEastAsia" w:hAnsiTheme="minorEastAsia" w:hint="eastAsia"/>
          <w:kern w:val="0"/>
          <w:szCs w:val="21"/>
        </w:rPr>
        <w:t>A</w:t>
      </w:r>
      <w:r w:rsidR="009E5739" w:rsidRPr="00487553">
        <w:rPr>
          <w:rFonts w:asciiTheme="minorEastAsia" w:eastAsiaTheme="minorEastAsia" w:hAnsiTheme="minorEastAsia"/>
          <w:kern w:val="0"/>
          <w:szCs w:val="21"/>
        </w:rPr>
        <w:t>类</w:t>
      </w:r>
      <w:r w:rsidR="00BA6960" w:rsidRPr="00487553">
        <w:rPr>
          <w:rFonts w:asciiTheme="minorEastAsia" w:eastAsiaTheme="minorEastAsia" w:hAnsiTheme="minorEastAsia" w:hint="eastAsia"/>
          <w:kern w:val="0"/>
          <w:szCs w:val="21"/>
        </w:rPr>
        <w:t>美元现汇</w:t>
      </w:r>
      <w:r w:rsidRPr="00487553">
        <w:rPr>
          <w:rFonts w:asciiTheme="minorEastAsia" w:eastAsiaTheme="minorEastAsia" w:hAnsiTheme="minorEastAsia"/>
          <w:kern w:val="0"/>
          <w:szCs w:val="21"/>
        </w:rPr>
        <w:t>基金份额，对应的赎回费率为0.</w:t>
      </w:r>
      <w:r w:rsidRPr="00487553">
        <w:rPr>
          <w:rFonts w:asciiTheme="minorEastAsia" w:eastAsiaTheme="minorEastAsia" w:hAnsiTheme="minorEastAsia" w:hint="eastAsia"/>
          <w:kern w:val="0"/>
          <w:szCs w:val="21"/>
        </w:rPr>
        <w:t>5</w:t>
      </w:r>
      <w:r w:rsidRPr="00487553">
        <w:rPr>
          <w:rFonts w:asciiTheme="minorEastAsia" w:eastAsiaTheme="minorEastAsia" w:hAnsiTheme="minorEastAsia"/>
          <w:kern w:val="0"/>
          <w:szCs w:val="21"/>
        </w:rPr>
        <w:t>%，</w:t>
      </w:r>
      <w:r w:rsidRPr="00487553">
        <w:rPr>
          <w:rFonts w:asciiTheme="minorEastAsia" w:eastAsiaTheme="minorEastAsia" w:hAnsiTheme="minorEastAsia"/>
        </w:rPr>
        <w:t>T日</w:t>
      </w:r>
      <w:r w:rsidR="009E5739" w:rsidRPr="00487553">
        <w:rPr>
          <w:rFonts w:asciiTheme="minorEastAsia" w:eastAsiaTheme="minorEastAsia" w:hAnsiTheme="minorEastAsia" w:hint="eastAsia"/>
          <w:kern w:val="0"/>
          <w:szCs w:val="21"/>
        </w:rPr>
        <w:t>A</w:t>
      </w:r>
      <w:r w:rsidR="009E5739" w:rsidRPr="00487553">
        <w:rPr>
          <w:rFonts w:asciiTheme="minorEastAsia" w:eastAsiaTheme="minorEastAsia" w:hAnsiTheme="minorEastAsia"/>
          <w:kern w:val="0"/>
          <w:szCs w:val="21"/>
        </w:rPr>
        <w:t>类</w:t>
      </w:r>
      <w:r w:rsidR="00301B85" w:rsidRPr="00487553">
        <w:rPr>
          <w:rFonts w:asciiTheme="minorEastAsia" w:eastAsiaTheme="minorEastAsia" w:hAnsiTheme="minorEastAsia" w:hint="eastAsia"/>
        </w:rPr>
        <w:t>美元现钞或</w:t>
      </w:r>
      <w:r w:rsidR="009E5739" w:rsidRPr="00487553">
        <w:rPr>
          <w:rFonts w:asciiTheme="minorEastAsia" w:eastAsiaTheme="minorEastAsia" w:hAnsiTheme="minorEastAsia" w:hint="eastAsia"/>
          <w:kern w:val="0"/>
          <w:szCs w:val="21"/>
        </w:rPr>
        <w:t>A</w:t>
      </w:r>
      <w:r w:rsidR="009E5739" w:rsidRPr="00487553">
        <w:rPr>
          <w:rFonts w:asciiTheme="minorEastAsia" w:eastAsiaTheme="minorEastAsia" w:hAnsiTheme="minorEastAsia"/>
          <w:kern w:val="0"/>
          <w:szCs w:val="21"/>
        </w:rPr>
        <w:t>类</w:t>
      </w:r>
      <w:r w:rsidR="00301B85" w:rsidRPr="00487553">
        <w:rPr>
          <w:rFonts w:asciiTheme="minorEastAsia" w:eastAsiaTheme="minorEastAsia" w:hAnsiTheme="minorEastAsia" w:hint="eastAsia"/>
        </w:rPr>
        <w:t>美元现汇基金份额</w:t>
      </w:r>
      <w:r w:rsidR="00301B85" w:rsidRPr="00487553">
        <w:rPr>
          <w:rFonts w:asciiTheme="minorEastAsia" w:eastAsiaTheme="minorEastAsia" w:hAnsiTheme="minorEastAsia"/>
          <w:kern w:val="0"/>
          <w:szCs w:val="21"/>
        </w:rPr>
        <w:t>净值</w:t>
      </w:r>
      <w:r w:rsidR="00301B85" w:rsidRPr="00487553">
        <w:rPr>
          <w:rFonts w:asciiTheme="minorEastAsia" w:eastAsiaTheme="minorEastAsia" w:hAnsiTheme="minorEastAsia" w:hint="eastAsia"/>
          <w:kern w:val="0"/>
          <w:szCs w:val="21"/>
        </w:rPr>
        <w:t>为</w:t>
      </w:r>
      <w:r w:rsidR="00BA6960" w:rsidRPr="00487553">
        <w:rPr>
          <w:rFonts w:asciiTheme="minorEastAsia" w:eastAsiaTheme="minorEastAsia" w:hAnsiTheme="minorEastAsia" w:hint="eastAsia"/>
          <w:kern w:val="0"/>
          <w:szCs w:val="21"/>
        </w:rPr>
        <w:t>0.1607美元</w:t>
      </w:r>
      <w:r w:rsidRPr="00487553">
        <w:rPr>
          <w:rFonts w:asciiTheme="minorEastAsia" w:eastAsiaTheme="minorEastAsia" w:hAnsiTheme="minorEastAsia"/>
          <w:kern w:val="0"/>
          <w:szCs w:val="21"/>
        </w:rPr>
        <w:t>，则其可得到的赎回金额</w:t>
      </w:r>
      <w:r w:rsidRPr="00487553">
        <w:rPr>
          <w:rFonts w:asciiTheme="minorEastAsia" w:eastAsiaTheme="minorEastAsia" w:hAnsiTheme="minorEastAsia"/>
        </w:rPr>
        <w:t>计算如下</w:t>
      </w:r>
      <w:r w:rsidRPr="00487553">
        <w:rPr>
          <w:rFonts w:asciiTheme="minorEastAsia" w:eastAsiaTheme="minorEastAsia" w:hAnsiTheme="minorEastAsia"/>
          <w:kern w:val="0"/>
          <w:szCs w:val="21"/>
        </w:rPr>
        <w:t>：</w:t>
      </w:r>
    </w:p>
    <w:p w14:paraId="2607C4DD" w14:textId="148BB664" w:rsidR="00C80B04" w:rsidRPr="00487553" w:rsidRDefault="00C80B04"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szCs w:val="21"/>
        </w:rPr>
        <w:t>赎回费用=</w:t>
      </w:r>
      <w:r w:rsidRPr="00487553">
        <w:rPr>
          <w:rFonts w:asciiTheme="minorEastAsia" w:eastAsiaTheme="minorEastAsia" w:hAnsiTheme="minorEastAsia"/>
          <w:kern w:val="0"/>
          <w:szCs w:val="21"/>
        </w:rPr>
        <w:t>10,000×</w:t>
      </w:r>
      <w:r w:rsidR="00301B85" w:rsidRPr="00487553">
        <w:rPr>
          <w:rFonts w:asciiTheme="minorEastAsia" w:eastAsiaTheme="minorEastAsia" w:hAnsiTheme="minorEastAsia" w:hint="eastAsia"/>
          <w:kern w:val="0"/>
          <w:szCs w:val="21"/>
        </w:rPr>
        <w:t>0.1607</w:t>
      </w:r>
      <w:r w:rsidRPr="00487553">
        <w:rPr>
          <w:rFonts w:asciiTheme="minorEastAsia" w:eastAsiaTheme="minorEastAsia" w:hAnsiTheme="minorEastAsia"/>
          <w:szCs w:val="21"/>
        </w:rPr>
        <w:t>×0.</w:t>
      </w:r>
      <w:r w:rsidRPr="00487553">
        <w:rPr>
          <w:rFonts w:asciiTheme="minorEastAsia" w:eastAsiaTheme="minorEastAsia" w:hAnsiTheme="minorEastAsia" w:hint="eastAsia"/>
          <w:szCs w:val="21"/>
        </w:rPr>
        <w:t>5</w:t>
      </w:r>
      <w:r w:rsidRPr="00487553">
        <w:rPr>
          <w:rFonts w:asciiTheme="minorEastAsia" w:eastAsiaTheme="minorEastAsia" w:hAnsiTheme="minorEastAsia"/>
          <w:szCs w:val="21"/>
        </w:rPr>
        <w:t>%</w:t>
      </w:r>
      <w:r w:rsidRPr="00487553">
        <w:rPr>
          <w:rFonts w:asciiTheme="minorEastAsia" w:eastAsiaTheme="minorEastAsia" w:hAnsiTheme="minorEastAsia"/>
          <w:kern w:val="0"/>
          <w:szCs w:val="21"/>
        </w:rPr>
        <w:t>=</w:t>
      </w:r>
      <w:r w:rsidR="00301B85" w:rsidRPr="00487553">
        <w:rPr>
          <w:rFonts w:asciiTheme="minorEastAsia" w:eastAsiaTheme="minorEastAsia" w:hAnsiTheme="minorEastAsia" w:hint="eastAsia"/>
          <w:kern w:val="0"/>
          <w:szCs w:val="21"/>
        </w:rPr>
        <w:t>8.04</w:t>
      </w:r>
      <w:r w:rsidR="001A0E08" w:rsidRPr="00487553">
        <w:rPr>
          <w:rFonts w:asciiTheme="minorEastAsia" w:eastAsiaTheme="minorEastAsia" w:hAnsiTheme="minorEastAsia" w:hint="eastAsia"/>
          <w:kern w:val="0"/>
          <w:szCs w:val="21"/>
        </w:rPr>
        <w:t>美元</w:t>
      </w:r>
    </w:p>
    <w:p w14:paraId="13181C2B" w14:textId="64617ABF" w:rsidR="00C80B04" w:rsidRPr="00487553" w:rsidRDefault="00C80B04"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szCs w:val="21"/>
        </w:rPr>
        <w:t>赎回金额</w:t>
      </w:r>
      <w:r w:rsidRPr="00487553">
        <w:rPr>
          <w:rFonts w:asciiTheme="minorEastAsia" w:eastAsiaTheme="minorEastAsia" w:hAnsiTheme="minorEastAsia"/>
          <w:kern w:val="0"/>
          <w:szCs w:val="21"/>
        </w:rPr>
        <w:t>=10,000×</w:t>
      </w:r>
      <w:r w:rsidR="00301B85" w:rsidRPr="00487553">
        <w:rPr>
          <w:rFonts w:asciiTheme="minorEastAsia" w:eastAsiaTheme="minorEastAsia" w:hAnsiTheme="minorEastAsia" w:hint="eastAsia"/>
          <w:kern w:val="0"/>
          <w:szCs w:val="21"/>
        </w:rPr>
        <w:t>0.1607</w:t>
      </w:r>
      <w:r w:rsidRPr="00487553">
        <w:rPr>
          <w:rFonts w:asciiTheme="minorEastAsia" w:eastAsiaTheme="minorEastAsia" w:hAnsiTheme="minorEastAsia"/>
          <w:kern w:val="0"/>
          <w:szCs w:val="21"/>
        </w:rPr>
        <w:t>-</w:t>
      </w:r>
      <w:r w:rsidR="00301B85" w:rsidRPr="00487553">
        <w:rPr>
          <w:rFonts w:asciiTheme="minorEastAsia" w:eastAsiaTheme="minorEastAsia" w:hAnsiTheme="minorEastAsia" w:hint="eastAsia"/>
          <w:kern w:val="0"/>
          <w:szCs w:val="21"/>
        </w:rPr>
        <w:t>8.04</w:t>
      </w:r>
      <w:r w:rsidRPr="00487553">
        <w:rPr>
          <w:rFonts w:asciiTheme="minorEastAsia" w:eastAsiaTheme="minorEastAsia" w:hAnsiTheme="minorEastAsia"/>
          <w:kern w:val="0"/>
          <w:szCs w:val="21"/>
        </w:rPr>
        <w:t>=</w:t>
      </w:r>
      <w:r w:rsidR="00301B85" w:rsidRPr="00487553">
        <w:rPr>
          <w:rFonts w:asciiTheme="minorEastAsia" w:eastAsiaTheme="minorEastAsia" w:hAnsiTheme="minorEastAsia" w:hint="eastAsia"/>
          <w:kern w:val="0"/>
          <w:szCs w:val="21"/>
        </w:rPr>
        <w:t>1598.96</w:t>
      </w:r>
      <w:r w:rsidR="001A0E08" w:rsidRPr="00487553">
        <w:rPr>
          <w:rFonts w:asciiTheme="minorEastAsia" w:eastAsiaTheme="minorEastAsia" w:hAnsiTheme="minorEastAsia" w:hint="eastAsia"/>
          <w:kern w:val="0"/>
          <w:szCs w:val="21"/>
        </w:rPr>
        <w:t>美元</w:t>
      </w:r>
    </w:p>
    <w:p w14:paraId="1EFD54D8" w14:textId="77777777" w:rsidR="00FF0BC0" w:rsidRPr="00487553" w:rsidRDefault="00FF0BC0"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赎回金额、赎回费用以人民币元</w:t>
      </w:r>
      <w:r w:rsidR="00825A78" w:rsidRPr="00487553">
        <w:rPr>
          <w:rFonts w:asciiTheme="minorEastAsia" w:eastAsiaTheme="minorEastAsia" w:hAnsiTheme="minorEastAsia" w:hint="eastAsia"/>
          <w:szCs w:val="21"/>
        </w:rPr>
        <w:t>或美元</w:t>
      </w:r>
      <w:r w:rsidRPr="00487553">
        <w:rPr>
          <w:rFonts w:asciiTheme="minorEastAsia" w:eastAsiaTheme="minorEastAsia" w:hAnsiTheme="minorEastAsia" w:hint="eastAsia"/>
          <w:szCs w:val="21"/>
        </w:rPr>
        <w:t>为单位，四舍五入，保留小数点后两位，由此误差产生的损失由基金财产承担，产生的收益归基金财产所有</w:t>
      </w:r>
      <w:r w:rsidRPr="00487553">
        <w:rPr>
          <w:rFonts w:asciiTheme="minorEastAsia" w:eastAsiaTheme="minorEastAsia" w:hAnsiTheme="minorEastAsia"/>
          <w:szCs w:val="21"/>
        </w:rPr>
        <w:t>。</w:t>
      </w:r>
    </w:p>
    <w:p w14:paraId="77ACB749" w14:textId="0AAECC34" w:rsidR="00391D11" w:rsidRPr="00487553" w:rsidRDefault="00456BC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00391D11" w:rsidRPr="00487553">
        <w:rPr>
          <w:rFonts w:asciiTheme="minorEastAsia" w:eastAsiaTheme="minorEastAsia" w:hAnsiTheme="minorEastAsia"/>
          <w:kern w:val="0"/>
          <w:szCs w:val="21"/>
        </w:rPr>
        <w:t>、基金份额净值的计算公式</w:t>
      </w:r>
    </w:p>
    <w:p w14:paraId="38005D09" w14:textId="77777777" w:rsidR="005B5183" w:rsidRPr="00487553" w:rsidRDefault="000910A1"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t>T</w:t>
      </w:r>
      <w:r w:rsidRPr="00487553">
        <w:rPr>
          <w:rFonts w:asciiTheme="minorEastAsia" w:eastAsiaTheme="minorEastAsia" w:hAnsiTheme="minorEastAsia" w:hint="eastAsia"/>
          <w:szCs w:val="21"/>
        </w:rPr>
        <w:t>日的基金份额净值在当天收市后计算，并在次日通过基金管理人网站披露</w:t>
      </w:r>
      <w:r w:rsidR="005B5183" w:rsidRPr="00487553">
        <w:rPr>
          <w:rFonts w:asciiTheme="minorEastAsia" w:eastAsiaTheme="minorEastAsia" w:hAnsiTheme="minorEastAsia"/>
          <w:szCs w:val="21"/>
        </w:rPr>
        <w:t>。遇特殊情况，经中国证监会同意，可以适当延迟计算或公告。其计算公式为：</w:t>
      </w:r>
    </w:p>
    <w:p w14:paraId="00FE034E" w14:textId="77777777" w:rsidR="00097C70" w:rsidRPr="00487553" w:rsidRDefault="009058F8" w:rsidP="00B01706">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t>A类</w:t>
      </w:r>
      <w:r w:rsidR="001E3B32" w:rsidRPr="00487553">
        <w:rPr>
          <w:rFonts w:asciiTheme="minorEastAsia" w:eastAsiaTheme="minorEastAsia" w:hAnsiTheme="minorEastAsia" w:hint="eastAsia"/>
          <w:szCs w:val="21"/>
        </w:rPr>
        <w:t>人民币</w:t>
      </w:r>
      <w:r w:rsidR="005B5183" w:rsidRPr="00487553">
        <w:rPr>
          <w:rFonts w:asciiTheme="minorEastAsia" w:eastAsiaTheme="minorEastAsia" w:hAnsiTheme="minorEastAsia"/>
          <w:szCs w:val="21"/>
        </w:rPr>
        <w:t>基金份额净值=计算日</w:t>
      </w:r>
      <w:r w:rsidR="00CF0EC7" w:rsidRPr="00487553">
        <w:rPr>
          <w:rFonts w:asciiTheme="minorEastAsia" w:eastAsiaTheme="minorEastAsia" w:hAnsiTheme="minorEastAsia" w:hint="eastAsia"/>
          <w:szCs w:val="21"/>
        </w:rPr>
        <w:t>A</w:t>
      </w:r>
      <w:r w:rsidR="00CF0EC7" w:rsidRPr="00487553">
        <w:rPr>
          <w:rFonts w:asciiTheme="minorEastAsia" w:eastAsiaTheme="minorEastAsia" w:hAnsiTheme="minorEastAsia"/>
          <w:szCs w:val="21"/>
        </w:rPr>
        <w:t>类</w:t>
      </w:r>
      <w:r w:rsidR="005B5183" w:rsidRPr="00487553">
        <w:rPr>
          <w:rFonts w:asciiTheme="minorEastAsia" w:eastAsiaTheme="minorEastAsia" w:hAnsiTheme="minorEastAsia"/>
          <w:szCs w:val="21"/>
        </w:rPr>
        <w:t>基金资产净值÷</w:t>
      </w:r>
      <w:r w:rsidR="0034070D" w:rsidRPr="00487553">
        <w:rPr>
          <w:rFonts w:asciiTheme="minorEastAsia" w:eastAsiaTheme="minorEastAsia" w:hAnsiTheme="minorEastAsia" w:hint="eastAsia"/>
          <w:szCs w:val="21"/>
        </w:rPr>
        <w:t>计算日</w:t>
      </w:r>
      <w:r w:rsidR="00CF0EC7" w:rsidRPr="00487553">
        <w:rPr>
          <w:rFonts w:asciiTheme="minorEastAsia" w:eastAsiaTheme="minorEastAsia" w:hAnsiTheme="minorEastAsia" w:hint="eastAsia"/>
          <w:szCs w:val="21"/>
        </w:rPr>
        <w:t>A</w:t>
      </w:r>
      <w:r w:rsidR="00CF0EC7" w:rsidRPr="00487553">
        <w:rPr>
          <w:rFonts w:asciiTheme="minorEastAsia" w:eastAsiaTheme="minorEastAsia" w:hAnsiTheme="minorEastAsia"/>
          <w:szCs w:val="21"/>
        </w:rPr>
        <w:t>类</w:t>
      </w:r>
      <w:r w:rsidR="0034070D" w:rsidRPr="00487553">
        <w:rPr>
          <w:rFonts w:asciiTheme="minorEastAsia" w:eastAsiaTheme="minorEastAsia" w:hAnsiTheme="minorEastAsia" w:hint="eastAsia"/>
          <w:szCs w:val="21"/>
        </w:rPr>
        <w:t>各币种基金份额余额的合计数</w:t>
      </w:r>
    </w:p>
    <w:p w14:paraId="2BD1836E" w14:textId="77777777" w:rsidR="000910A1" w:rsidRPr="00487553" w:rsidRDefault="009058F8" w:rsidP="00B01706">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t>A类</w:t>
      </w:r>
      <w:r w:rsidR="00B918B3" w:rsidRPr="00487553">
        <w:rPr>
          <w:rFonts w:asciiTheme="minorEastAsia" w:eastAsiaTheme="minorEastAsia" w:hAnsiTheme="minorEastAsia" w:hint="eastAsia"/>
          <w:szCs w:val="21"/>
        </w:rPr>
        <w:t>美元现钞基金份额和</w:t>
      </w:r>
      <w:r w:rsidRPr="00487553">
        <w:rPr>
          <w:rFonts w:asciiTheme="minorEastAsia" w:eastAsiaTheme="minorEastAsia" w:hAnsiTheme="minorEastAsia"/>
          <w:szCs w:val="21"/>
        </w:rPr>
        <w:t>A类</w:t>
      </w:r>
      <w:r w:rsidR="00B918B3" w:rsidRPr="00487553">
        <w:rPr>
          <w:rFonts w:asciiTheme="minorEastAsia" w:eastAsiaTheme="minorEastAsia" w:hAnsiTheme="minorEastAsia" w:hint="eastAsia"/>
          <w:szCs w:val="21"/>
        </w:rPr>
        <w:t>美元现汇基金份额</w:t>
      </w:r>
      <w:r w:rsidR="000910A1" w:rsidRPr="00487553">
        <w:rPr>
          <w:rFonts w:asciiTheme="minorEastAsia" w:eastAsiaTheme="minorEastAsia" w:hAnsiTheme="minorEastAsia" w:hint="eastAsia"/>
          <w:szCs w:val="21"/>
        </w:rPr>
        <w:t>净值=</w:t>
      </w:r>
      <w:r w:rsidRPr="00487553">
        <w:rPr>
          <w:rFonts w:asciiTheme="minorEastAsia" w:eastAsiaTheme="minorEastAsia" w:hAnsiTheme="minorEastAsia"/>
          <w:szCs w:val="21"/>
        </w:rPr>
        <w:t>A类</w:t>
      </w:r>
      <w:r w:rsidR="000910A1" w:rsidRPr="00487553">
        <w:rPr>
          <w:rFonts w:asciiTheme="minorEastAsia" w:eastAsiaTheme="minorEastAsia" w:hAnsiTheme="minorEastAsia" w:hint="eastAsia"/>
          <w:szCs w:val="21"/>
        </w:rPr>
        <w:t>人民币</w:t>
      </w:r>
      <w:r w:rsidR="00C96D32" w:rsidRPr="00487553">
        <w:rPr>
          <w:rFonts w:asciiTheme="minorEastAsia" w:eastAsiaTheme="minorEastAsia" w:hAnsiTheme="minorEastAsia" w:hint="eastAsia"/>
          <w:szCs w:val="21"/>
        </w:rPr>
        <w:t>基金</w:t>
      </w:r>
      <w:r w:rsidR="000910A1" w:rsidRPr="00487553">
        <w:rPr>
          <w:rFonts w:asciiTheme="minorEastAsia" w:eastAsiaTheme="minorEastAsia" w:hAnsiTheme="minorEastAsia"/>
          <w:szCs w:val="21"/>
        </w:rPr>
        <w:t>份额净值÷计算日</w:t>
      </w:r>
      <w:r w:rsidR="00D9167E" w:rsidRPr="00487553">
        <w:rPr>
          <w:rFonts w:asciiTheme="minorEastAsia" w:eastAsiaTheme="minorEastAsia" w:hAnsiTheme="minorEastAsia" w:hint="eastAsia"/>
          <w:szCs w:val="21"/>
        </w:rPr>
        <w:t>美元估值</w:t>
      </w:r>
      <w:r w:rsidR="000910A1" w:rsidRPr="00487553">
        <w:rPr>
          <w:rFonts w:asciiTheme="minorEastAsia" w:eastAsiaTheme="minorEastAsia" w:hAnsiTheme="minorEastAsia" w:hint="eastAsia"/>
          <w:szCs w:val="21"/>
        </w:rPr>
        <w:t>汇率</w:t>
      </w:r>
    </w:p>
    <w:p w14:paraId="1FABE05E" w14:textId="77777777" w:rsidR="009058F8" w:rsidRPr="00487553" w:rsidRDefault="009058F8" w:rsidP="009058F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szCs w:val="21"/>
        </w:rPr>
        <w:t>C类基金份额净值=</w:t>
      </w:r>
      <w:r w:rsidR="00CF0EC7" w:rsidRPr="00487553">
        <w:rPr>
          <w:rFonts w:asciiTheme="minorEastAsia" w:eastAsiaTheme="minorEastAsia" w:hAnsiTheme="minorEastAsia" w:hint="eastAsia"/>
          <w:szCs w:val="21"/>
        </w:rPr>
        <w:t>计算日</w:t>
      </w:r>
      <w:r w:rsidR="00CF0EC7" w:rsidRPr="00487553">
        <w:rPr>
          <w:rFonts w:asciiTheme="minorEastAsia" w:eastAsiaTheme="minorEastAsia" w:hAnsiTheme="minorEastAsia"/>
          <w:szCs w:val="21"/>
        </w:rPr>
        <w:t>C类基金资产净值</w:t>
      </w:r>
      <w:r w:rsidRPr="00487553">
        <w:rPr>
          <w:rFonts w:asciiTheme="minorEastAsia" w:eastAsiaTheme="minorEastAsia" w:hAnsiTheme="minorEastAsia"/>
          <w:szCs w:val="21"/>
        </w:rPr>
        <w:t>÷</w:t>
      </w:r>
      <w:r w:rsidR="00CF0EC7" w:rsidRPr="00487553">
        <w:rPr>
          <w:rFonts w:asciiTheme="minorEastAsia" w:eastAsiaTheme="minorEastAsia" w:hAnsiTheme="minorEastAsia" w:hint="eastAsia"/>
          <w:szCs w:val="21"/>
        </w:rPr>
        <w:t>计算日</w:t>
      </w:r>
      <w:r w:rsidR="00CF0EC7" w:rsidRPr="00487553">
        <w:rPr>
          <w:rFonts w:asciiTheme="minorEastAsia" w:eastAsiaTheme="minorEastAsia" w:hAnsiTheme="minorEastAsia"/>
          <w:szCs w:val="21"/>
        </w:rPr>
        <w:t>C类基金份额余额</w:t>
      </w:r>
    </w:p>
    <w:p w14:paraId="1FCB271E" w14:textId="77777777" w:rsidR="009058F8" w:rsidRPr="00487553" w:rsidRDefault="009058F8" w:rsidP="009058F8">
      <w:pPr>
        <w:snapToGrid w:val="0"/>
        <w:spacing w:line="360" w:lineRule="auto"/>
        <w:ind w:firstLineChars="202" w:firstLine="424"/>
        <w:rPr>
          <w:rFonts w:asciiTheme="minorEastAsia" w:eastAsiaTheme="minorEastAsia" w:hAnsiTheme="minorEastAsia"/>
          <w:szCs w:val="21"/>
        </w:rPr>
      </w:pPr>
    </w:p>
    <w:p w14:paraId="4FA86521" w14:textId="05276855" w:rsidR="00456BC7" w:rsidRPr="00487553" w:rsidRDefault="00456BC7" w:rsidP="00D94E68">
      <w:pPr>
        <w:snapToGrid w:val="0"/>
        <w:spacing w:line="360" w:lineRule="auto"/>
        <w:ind w:firstLineChars="202" w:firstLine="424"/>
        <w:rPr>
          <w:rFonts w:asciiTheme="minorEastAsia" w:eastAsiaTheme="minorEastAsia" w:hAnsiTheme="minorEastAsia"/>
          <w:szCs w:val="21"/>
        </w:rPr>
      </w:pPr>
      <w:r w:rsidRPr="00487553">
        <w:rPr>
          <w:rFonts w:asciiTheme="minorEastAsia" w:eastAsiaTheme="minorEastAsia" w:hAnsiTheme="minorEastAsia" w:hint="eastAsia"/>
          <w:szCs w:val="21"/>
        </w:rPr>
        <w:t>4、本基金的申购费由申购</w:t>
      </w:r>
      <w:r w:rsidR="0056427B" w:rsidRPr="00487553">
        <w:rPr>
          <w:rFonts w:asciiTheme="minorEastAsia" w:eastAsiaTheme="minorEastAsia" w:hAnsiTheme="minorEastAsia" w:hint="eastAsia"/>
          <w:szCs w:val="21"/>
        </w:rPr>
        <w:t>投资者</w:t>
      </w:r>
      <w:r w:rsidRPr="00487553">
        <w:rPr>
          <w:rFonts w:asciiTheme="minorEastAsia" w:eastAsiaTheme="minorEastAsia" w:hAnsiTheme="minorEastAsia" w:hint="eastAsia"/>
          <w:szCs w:val="21"/>
        </w:rPr>
        <w:t>承担，不计入基金财产，主要用于本基金的市场推广、销售、注册登记等各项费用；本基金的赎回费由赎回</w:t>
      </w:r>
      <w:r w:rsidR="00DE0661" w:rsidRPr="00487553">
        <w:rPr>
          <w:rFonts w:asciiTheme="minorEastAsia" w:eastAsiaTheme="minorEastAsia" w:hAnsiTheme="minorEastAsia" w:hint="eastAsia"/>
          <w:szCs w:val="21"/>
        </w:rPr>
        <w:t>投资者</w:t>
      </w:r>
      <w:r w:rsidRPr="00487553">
        <w:rPr>
          <w:rFonts w:asciiTheme="minorEastAsia" w:eastAsiaTheme="minorEastAsia" w:hAnsiTheme="minorEastAsia" w:hint="eastAsia"/>
          <w:szCs w:val="21"/>
        </w:rPr>
        <w:t>承担，在基金份额持有人赎回基金份额时收取</w:t>
      </w:r>
      <w:r w:rsidR="009058F8" w:rsidRPr="00487553">
        <w:rPr>
          <w:rFonts w:asciiTheme="minorEastAsia" w:eastAsiaTheme="minorEastAsia" w:hAnsiTheme="minorEastAsia" w:hint="eastAsia"/>
          <w:szCs w:val="21"/>
        </w:rPr>
        <w:t>；</w:t>
      </w:r>
      <w:r w:rsidR="00E91292" w:rsidRPr="00487553">
        <w:rPr>
          <w:rFonts w:asciiTheme="minorEastAsia" w:eastAsiaTheme="minorEastAsia" w:hAnsiTheme="minorEastAsia" w:hint="eastAsia"/>
          <w:szCs w:val="21"/>
        </w:rPr>
        <w:t>对于</w:t>
      </w:r>
      <w:r w:rsidR="00E91292" w:rsidRPr="00487553">
        <w:rPr>
          <w:rFonts w:asciiTheme="minorEastAsia" w:eastAsiaTheme="minorEastAsia" w:hAnsiTheme="minorEastAsia"/>
          <w:szCs w:val="21"/>
        </w:rPr>
        <w:t>A类</w:t>
      </w:r>
      <w:r w:rsidR="00E91292" w:rsidRPr="00487553">
        <w:rPr>
          <w:rFonts w:asciiTheme="minorEastAsia" w:eastAsiaTheme="minorEastAsia" w:hAnsiTheme="minorEastAsia" w:hint="eastAsia"/>
          <w:szCs w:val="21"/>
        </w:rPr>
        <w:t>人民币</w:t>
      </w:r>
      <w:r w:rsidR="00E91292" w:rsidRPr="00487553">
        <w:rPr>
          <w:rFonts w:asciiTheme="minorEastAsia" w:eastAsiaTheme="minorEastAsia" w:hAnsiTheme="minorEastAsia"/>
          <w:szCs w:val="21"/>
        </w:rPr>
        <w:t>基金份额</w:t>
      </w:r>
      <w:r w:rsidR="00E91292" w:rsidRPr="00487553">
        <w:rPr>
          <w:rFonts w:asciiTheme="minorEastAsia" w:eastAsiaTheme="minorEastAsia" w:hAnsiTheme="minorEastAsia" w:hint="eastAsia"/>
          <w:szCs w:val="21"/>
        </w:rPr>
        <w:t>、</w:t>
      </w:r>
      <w:r w:rsidR="00E91292" w:rsidRPr="00487553">
        <w:rPr>
          <w:rFonts w:asciiTheme="minorEastAsia" w:eastAsiaTheme="minorEastAsia" w:hAnsiTheme="minorEastAsia"/>
          <w:szCs w:val="21"/>
        </w:rPr>
        <w:t>A类</w:t>
      </w:r>
      <w:r w:rsidR="00E91292" w:rsidRPr="00487553">
        <w:rPr>
          <w:rFonts w:asciiTheme="minorEastAsia" w:eastAsiaTheme="minorEastAsia" w:hAnsiTheme="minorEastAsia" w:hint="eastAsia"/>
          <w:szCs w:val="21"/>
        </w:rPr>
        <w:t>美元现钞</w:t>
      </w:r>
      <w:r w:rsidR="00E91292" w:rsidRPr="00487553">
        <w:rPr>
          <w:rFonts w:asciiTheme="minorEastAsia" w:eastAsiaTheme="minorEastAsia" w:hAnsiTheme="minorEastAsia"/>
          <w:szCs w:val="21"/>
        </w:rPr>
        <w:t>基金份额</w:t>
      </w:r>
      <w:r w:rsidR="00E91292" w:rsidRPr="00487553">
        <w:rPr>
          <w:rFonts w:asciiTheme="minorEastAsia" w:eastAsiaTheme="minorEastAsia" w:hAnsiTheme="minorEastAsia" w:hint="eastAsia"/>
          <w:szCs w:val="21"/>
        </w:rPr>
        <w:t>和</w:t>
      </w:r>
      <w:r w:rsidR="00E91292" w:rsidRPr="00487553">
        <w:rPr>
          <w:rFonts w:asciiTheme="minorEastAsia" w:eastAsiaTheme="minorEastAsia" w:hAnsiTheme="minorEastAsia"/>
          <w:szCs w:val="21"/>
        </w:rPr>
        <w:t>A类</w:t>
      </w:r>
      <w:r w:rsidR="00E91292" w:rsidRPr="00487553">
        <w:rPr>
          <w:rFonts w:asciiTheme="minorEastAsia" w:eastAsiaTheme="minorEastAsia" w:hAnsiTheme="minorEastAsia" w:hint="eastAsia"/>
          <w:szCs w:val="21"/>
        </w:rPr>
        <w:t>美元现汇基金份额，基金管理人对持有期少于7天（不含）的基金份额持有人所收取赎回费全额计入基金财产，对持有期在7天以上（含）的基金份额持有人所收取赎回费用总额的25%计入基金资产</w:t>
      </w:r>
      <w:r w:rsidRPr="00487553">
        <w:rPr>
          <w:rFonts w:asciiTheme="minorEastAsia" w:eastAsiaTheme="minorEastAsia" w:hAnsiTheme="minorEastAsia"/>
          <w:szCs w:val="21"/>
        </w:rPr>
        <w:t>，</w:t>
      </w:r>
      <w:r w:rsidRPr="00487553">
        <w:rPr>
          <w:rFonts w:asciiTheme="minorEastAsia" w:eastAsiaTheme="minorEastAsia" w:hAnsiTheme="minorEastAsia" w:hint="eastAsia"/>
          <w:szCs w:val="21"/>
        </w:rPr>
        <w:t>其余</w:t>
      </w:r>
      <w:r w:rsidRPr="00487553">
        <w:rPr>
          <w:rFonts w:asciiTheme="minorEastAsia" w:eastAsiaTheme="minorEastAsia" w:hAnsiTheme="minorEastAsia"/>
          <w:szCs w:val="21"/>
        </w:rPr>
        <w:t>用于支付注册登记费和其他必要的手续费</w:t>
      </w:r>
      <w:r w:rsidR="009058F8" w:rsidRPr="00487553">
        <w:rPr>
          <w:rFonts w:asciiTheme="minorEastAsia" w:eastAsiaTheme="minorEastAsia" w:hAnsiTheme="minorEastAsia" w:hint="eastAsia"/>
          <w:szCs w:val="21"/>
        </w:rPr>
        <w:t>；对</w:t>
      </w:r>
      <w:r w:rsidR="009058F8" w:rsidRPr="00487553">
        <w:rPr>
          <w:rFonts w:asciiTheme="minorEastAsia" w:eastAsiaTheme="minorEastAsia" w:hAnsiTheme="minorEastAsia"/>
          <w:szCs w:val="21"/>
        </w:rPr>
        <w:t>C类基</w:t>
      </w:r>
      <w:r w:rsidR="009058F8" w:rsidRPr="00487553">
        <w:rPr>
          <w:rFonts w:asciiTheme="minorEastAsia" w:eastAsiaTheme="minorEastAsia" w:hAnsiTheme="minorEastAsia" w:hint="eastAsia"/>
          <w:szCs w:val="21"/>
        </w:rPr>
        <w:t>金份额持有人收取的赎回费，全额计入基金财产。</w:t>
      </w:r>
    </w:p>
    <w:p w14:paraId="0A3C802A"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48" w:name="_Toc323051008"/>
      <w:bookmarkStart w:id="449" w:name="_Toc296526992"/>
      <w:bookmarkStart w:id="450" w:name="_Toc296526993"/>
      <w:bookmarkStart w:id="451" w:name="_Toc277752499"/>
      <w:bookmarkStart w:id="452" w:name="_Toc277786078"/>
      <w:bookmarkStart w:id="453" w:name="_Toc277787599"/>
      <w:bookmarkStart w:id="454" w:name="_Toc277787873"/>
      <w:bookmarkStart w:id="455" w:name="_Toc278409384"/>
      <w:bookmarkStart w:id="456" w:name="_Toc20148446"/>
      <w:bookmarkEnd w:id="448"/>
      <w:bookmarkEnd w:id="449"/>
      <w:bookmarkEnd w:id="450"/>
      <w:bookmarkEnd w:id="451"/>
      <w:bookmarkEnd w:id="452"/>
      <w:bookmarkEnd w:id="453"/>
      <w:bookmarkEnd w:id="454"/>
      <w:bookmarkEnd w:id="455"/>
      <w:r w:rsidRPr="00487553">
        <w:rPr>
          <w:rFonts w:asciiTheme="minorEastAsia" w:eastAsiaTheme="minorEastAsia" w:hAnsiTheme="minorEastAsia"/>
          <w:bCs/>
        </w:rPr>
        <w:t>申购</w:t>
      </w:r>
      <w:r w:rsidR="00785833" w:rsidRPr="00487553">
        <w:rPr>
          <w:rFonts w:asciiTheme="minorEastAsia" w:eastAsiaTheme="minorEastAsia" w:hAnsiTheme="minorEastAsia"/>
          <w:bCs/>
        </w:rPr>
        <w:t>和</w:t>
      </w:r>
      <w:r w:rsidRPr="00487553">
        <w:rPr>
          <w:rFonts w:asciiTheme="minorEastAsia" w:eastAsiaTheme="minorEastAsia" w:hAnsiTheme="minorEastAsia"/>
          <w:bCs/>
        </w:rPr>
        <w:t>赎回的</w:t>
      </w:r>
      <w:r w:rsidR="00D81B1A" w:rsidRPr="00487553">
        <w:rPr>
          <w:rFonts w:asciiTheme="minorEastAsia" w:eastAsiaTheme="minorEastAsia" w:hAnsiTheme="minorEastAsia" w:hint="eastAsia"/>
          <w:bCs/>
        </w:rPr>
        <w:t>注册</w:t>
      </w:r>
      <w:r w:rsidRPr="00487553">
        <w:rPr>
          <w:rFonts w:asciiTheme="minorEastAsia" w:eastAsiaTheme="minorEastAsia" w:hAnsiTheme="minorEastAsia"/>
          <w:bCs/>
        </w:rPr>
        <w:t>登记</w:t>
      </w:r>
      <w:bookmarkEnd w:id="456"/>
    </w:p>
    <w:p w14:paraId="4E0D8CE5" w14:textId="77777777" w:rsidR="000B7E67" w:rsidRPr="00487553" w:rsidRDefault="000B7E67"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正常情况下</w:t>
      </w:r>
      <w:r w:rsidRPr="00487553">
        <w:rPr>
          <w:rFonts w:asciiTheme="minorEastAsia" w:eastAsiaTheme="minorEastAsia" w:hAnsiTheme="minorEastAsia" w:hint="eastAsia"/>
          <w:kern w:val="0"/>
          <w:szCs w:val="21"/>
        </w:rPr>
        <w:t>，投资者申购基金成功后</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注册登记机构在</w:t>
      </w:r>
      <w:r w:rsidRPr="00487553">
        <w:rPr>
          <w:rFonts w:asciiTheme="minorEastAsia" w:eastAsiaTheme="minorEastAsia" w:hAnsiTheme="minorEastAsia"/>
          <w:kern w:val="0"/>
          <w:szCs w:val="21"/>
        </w:rPr>
        <w:t>T</w:t>
      </w:r>
      <w:r w:rsidRPr="00487553">
        <w:rPr>
          <w:rFonts w:asciiTheme="minorEastAsia" w:eastAsiaTheme="minorEastAsia" w:hAnsiTheme="minorEastAsia" w:hint="eastAsia"/>
          <w:kern w:val="0"/>
          <w:szCs w:val="21"/>
        </w:rPr>
        <w:t>＋</w:t>
      </w:r>
      <w:r w:rsidR="00466EE0" w:rsidRPr="00487553">
        <w:rPr>
          <w:rFonts w:asciiTheme="minorEastAsia" w:eastAsiaTheme="minorEastAsia" w:hAnsiTheme="minorEastAsia" w:hint="eastAsia"/>
          <w:kern w:val="0"/>
          <w:szCs w:val="21"/>
        </w:rPr>
        <w:t>1</w:t>
      </w:r>
      <w:r w:rsidRPr="00487553">
        <w:rPr>
          <w:rFonts w:asciiTheme="minorEastAsia" w:eastAsiaTheme="minorEastAsia" w:hAnsiTheme="minorEastAsia" w:hint="eastAsia"/>
          <w:kern w:val="0"/>
          <w:szCs w:val="21"/>
        </w:rPr>
        <w:t>日为投资者登记权益并办理注册登记手续</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投资者自</w:t>
      </w:r>
      <w:r w:rsidRPr="00487553">
        <w:rPr>
          <w:rFonts w:asciiTheme="minorEastAsia" w:eastAsiaTheme="minorEastAsia" w:hAnsiTheme="minorEastAsia"/>
          <w:kern w:val="0"/>
          <w:szCs w:val="21"/>
        </w:rPr>
        <w:t>T</w:t>
      </w:r>
      <w:r w:rsidRPr="00487553">
        <w:rPr>
          <w:rFonts w:asciiTheme="minorEastAsia" w:eastAsiaTheme="minorEastAsia" w:hAnsiTheme="minorEastAsia" w:hint="eastAsia"/>
          <w:kern w:val="0"/>
          <w:szCs w:val="21"/>
        </w:rPr>
        <w:t>＋</w:t>
      </w:r>
      <w:r w:rsidR="00466EE0" w:rsidRPr="00487553">
        <w:rPr>
          <w:rFonts w:asciiTheme="minorEastAsia" w:eastAsiaTheme="minorEastAsia" w:hAnsiTheme="minorEastAsia" w:hint="eastAsia"/>
          <w:kern w:val="0"/>
          <w:szCs w:val="21"/>
        </w:rPr>
        <w:t>2</w:t>
      </w:r>
      <w:r w:rsidRPr="00487553">
        <w:rPr>
          <w:rFonts w:asciiTheme="minorEastAsia" w:eastAsiaTheme="minorEastAsia" w:hAnsiTheme="minorEastAsia" w:hint="eastAsia"/>
          <w:kern w:val="0"/>
          <w:szCs w:val="21"/>
        </w:rPr>
        <w:t>日起（含该日）有权赎回该部分基金份额。</w:t>
      </w:r>
    </w:p>
    <w:p w14:paraId="78E30B86" w14:textId="77777777" w:rsidR="000B7E67" w:rsidRPr="00487553" w:rsidRDefault="000B7E67"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2、投资者赎回基金成功后</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正常情况下，注册登记机构在</w:t>
      </w:r>
      <w:r w:rsidRPr="00487553">
        <w:rPr>
          <w:rFonts w:asciiTheme="minorEastAsia" w:eastAsiaTheme="minorEastAsia" w:hAnsiTheme="minorEastAsia"/>
          <w:kern w:val="0"/>
          <w:szCs w:val="21"/>
        </w:rPr>
        <w:t>T</w:t>
      </w:r>
      <w:r w:rsidRPr="00487553">
        <w:rPr>
          <w:rFonts w:asciiTheme="minorEastAsia" w:eastAsiaTheme="minorEastAsia" w:hAnsiTheme="minorEastAsia" w:hint="eastAsia"/>
          <w:kern w:val="0"/>
          <w:szCs w:val="21"/>
        </w:rPr>
        <w:t>＋</w:t>
      </w:r>
      <w:r w:rsidR="00466EE0" w:rsidRPr="00487553">
        <w:rPr>
          <w:rFonts w:asciiTheme="minorEastAsia" w:eastAsiaTheme="minorEastAsia" w:hAnsiTheme="minorEastAsia" w:hint="eastAsia"/>
          <w:kern w:val="0"/>
          <w:szCs w:val="21"/>
        </w:rPr>
        <w:t>1</w:t>
      </w:r>
      <w:r w:rsidRPr="00487553">
        <w:rPr>
          <w:rFonts w:asciiTheme="minorEastAsia" w:eastAsiaTheme="minorEastAsia" w:hAnsiTheme="minorEastAsia" w:hint="eastAsia"/>
          <w:kern w:val="0"/>
          <w:szCs w:val="21"/>
        </w:rPr>
        <w:t>日为投资者扣除权益并办理相应的注册登记手续。</w:t>
      </w:r>
    </w:p>
    <w:p w14:paraId="393E07D2" w14:textId="77777777" w:rsidR="005D6514" w:rsidRPr="00487553" w:rsidRDefault="000B7E6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3、基金管理人可在法律法规允许的范围内</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对上述注册登记办理时间进行调整，但不得实质影响投资者的合法权益</w:t>
      </w:r>
      <w:r w:rsidRPr="00487553">
        <w:rPr>
          <w:rFonts w:asciiTheme="minorEastAsia" w:eastAsiaTheme="minorEastAsia" w:hAnsiTheme="minorEastAsia"/>
          <w:kern w:val="0"/>
          <w:szCs w:val="21"/>
        </w:rPr>
        <w:t>，</w:t>
      </w:r>
      <w:r w:rsidRPr="00487553">
        <w:rPr>
          <w:rFonts w:asciiTheme="minorEastAsia" w:eastAsiaTheme="minorEastAsia" w:hAnsiTheme="minorEastAsia" w:hint="eastAsia"/>
          <w:kern w:val="0"/>
          <w:szCs w:val="21"/>
        </w:rPr>
        <w:t>并于开始实施前在指定媒体上公告。</w:t>
      </w:r>
    </w:p>
    <w:p w14:paraId="1BBECBBF" w14:textId="08127964" w:rsidR="006823CA" w:rsidRPr="00487553" w:rsidRDefault="006823CA"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57" w:name="_Toc20148447"/>
      <w:r w:rsidRPr="00487553">
        <w:rPr>
          <w:rFonts w:asciiTheme="minorEastAsia" w:eastAsiaTheme="minorEastAsia" w:hAnsiTheme="minorEastAsia"/>
          <w:bCs/>
        </w:rPr>
        <w:lastRenderedPageBreak/>
        <w:t>拒绝或暂停申购</w:t>
      </w:r>
      <w:r w:rsidR="00E91292" w:rsidRPr="00487553">
        <w:rPr>
          <w:rFonts w:asciiTheme="minorEastAsia" w:eastAsiaTheme="minorEastAsia" w:hAnsiTheme="minorEastAsia" w:hint="eastAsia"/>
          <w:bCs/>
        </w:rPr>
        <w:t>、暂停赎回</w:t>
      </w:r>
      <w:r w:rsidRPr="00487553">
        <w:rPr>
          <w:rFonts w:asciiTheme="minorEastAsia" w:eastAsiaTheme="minorEastAsia" w:hAnsiTheme="minorEastAsia"/>
          <w:bCs/>
        </w:rPr>
        <w:t>的情形及处理方式</w:t>
      </w:r>
      <w:bookmarkEnd w:id="457"/>
    </w:p>
    <w:p w14:paraId="019B2AAB" w14:textId="77777777" w:rsidR="002C1A0C"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002C1A0C" w:rsidRPr="00487553">
        <w:rPr>
          <w:rFonts w:asciiTheme="minorEastAsia" w:eastAsiaTheme="minorEastAsia" w:hAnsiTheme="minorEastAsia" w:hint="eastAsia"/>
          <w:kern w:val="0"/>
          <w:szCs w:val="21"/>
        </w:rPr>
        <w:t>在如下情况下，基金管理人可以拒绝或暂停接受投资者</w:t>
      </w:r>
      <w:r w:rsidR="006D6818" w:rsidRPr="00487553">
        <w:rPr>
          <w:rFonts w:asciiTheme="minorEastAsia" w:eastAsiaTheme="minorEastAsia" w:hAnsiTheme="minorEastAsia" w:hint="eastAsia"/>
          <w:kern w:val="0"/>
          <w:szCs w:val="21"/>
        </w:rPr>
        <w:t>某一类币种或多类币种份额</w:t>
      </w:r>
      <w:r w:rsidR="002C1A0C" w:rsidRPr="00487553">
        <w:rPr>
          <w:rFonts w:asciiTheme="minorEastAsia" w:eastAsiaTheme="minorEastAsia" w:hAnsiTheme="minorEastAsia" w:hint="eastAsia"/>
          <w:kern w:val="0"/>
          <w:szCs w:val="21"/>
        </w:rPr>
        <w:t>的申购申请：</w:t>
      </w:r>
    </w:p>
    <w:p w14:paraId="38C09227"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1</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不可抗力导致基金无法正常运作或基金管理人无法接受投资者的申购申请；</w:t>
      </w:r>
    </w:p>
    <w:p w14:paraId="4EB3A634" w14:textId="77777777" w:rsidR="00FC17D1" w:rsidRPr="00487553" w:rsidRDefault="00AF5CA0"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2</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香港证券交易所或上海证券交易所决定临时停市；</w:t>
      </w:r>
    </w:p>
    <w:p w14:paraId="5CFBFB7F" w14:textId="77777777" w:rsidR="00AD59A9" w:rsidRPr="00487553" w:rsidRDefault="00FC17D1"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AD59A9" w:rsidRPr="00487553">
        <w:rPr>
          <w:rFonts w:asciiTheme="minorEastAsia" w:eastAsiaTheme="minorEastAsia" w:hAnsiTheme="minorEastAsia" w:hint="eastAsia"/>
          <w:kern w:val="0"/>
          <w:szCs w:val="21"/>
        </w:rPr>
        <w:t>3）外汇市场休市；</w:t>
      </w:r>
    </w:p>
    <w:p w14:paraId="49EC1279"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4</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因上海证券交易所或香港证券交易所节假日休市可能对基金正常运作造成影响；</w:t>
      </w:r>
    </w:p>
    <w:p w14:paraId="008D95E9"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5</w:t>
      </w:r>
      <w:r w:rsidRPr="00487553">
        <w:rPr>
          <w:rFonts w:asciiTheme="minorEastAsia" w:eastAsiaTheme="minorEastAsia" w:hAnsiTheme="minorEastAsia" w:hint="eastAsia"/>
          <w:kern w:val="0"/>
          <w:szCs w:val="21"/>
        </w:rPr>
        <w:t>）</w:t>
      </w:r>
      <w:r w:rsidR="002A43D5" w:rsidRPr="00487553">
        <w:rPr>
          <w:rFonts w:asciiTheme="minorEastAsia" w:eastAsiaTheme="minorEastAsia" w:hAnsiTheme="minorEastAsia" w:hint="eastAsia"/>
          <w:kern w:val="0"/>
          <w:szCs w:val="21"/>
        </w:rPr>
        <w:t>发生</w:t>
      </w:r>
      <w:r w:rsidR="00070B55" w:rsidRPr="00487553">
        <w:rPr>
          <w:rFonts w:asciiTheme="minorEastAsia" w:eastAsiaTheme="minorEastAsia" w:hAnsiTheme="minorEastAsia" w:hint="eastAsia"/>
          <w:kern w:val="0"/>
          <w:szCs w:val="21"/>
        </w:rPr>
        <w:t>基金合同规定的暂停基金资产估值情况；</w:t>
      </w:r>
    </w:p>
    <w:p w14:paraId="52BCB8FA" w14:textId="6EDCA00F"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6</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目标ETF暂停估值，导致基金管理人无法计算当日基金资产净值；</w:t>
      </w:r>
    </w:p>
    <w:p w14:paraId="2D11248A" w14:textId="7E0A9684"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7</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目标ETF暂停申赎、暂停上市或目标ETF停牌，基金管理人认为有必要暂停本基金申购的；</w:t>
      </w:r>
    </w:p>
    <w:p w14:paraId="05B39FA6"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8</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本基金的资产组合中的重要部分发生暂停交易或其他重大事件，继续接受申购可能会影响或损害其他基金份额持有人利益时；</w:t>
      </w:r>
    </w:p>
    <w:p w14:paraId="57004ACA"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9</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基金可用的外汇额度不足；</w:t>
      </w:r>
    </w:p>
    <w:p w14:paraId="41421D05"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10</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基金管理人、基金托管人、基金销售机构或注册登记机构因技术故障导致基金销售系统或注册登记系统、基金会计系统无法正常运行；</w:t>
      </w:r>
    </w:p>
    <w:p w14:paraId="20602967" w14:textId="77777777" w:rsidR="00070B55"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11</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基金管理人有正当理由认为接受某笔或某些申购申请可能会影响或损害其他基金份额持有人利益时；</w:t>
      </w:r>
    </w:p>
    <w:p w14:paraId="24210D11" w14:textId="77777777" w:rsidR="00E91292" w:rsidRPr="00487553" w:rsidRDefault="00E91292" w:rsidP="00E91292">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12）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22FF04F1" w14:textId="77777777" w:rsidR="00E91292" w:rsidRPr="00487553" w:rsidRDefault="00E91292" w:rsidP="00E91292">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13）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2C6D5B22" w14:textId="07440C8F" w:rsidR="002C1A0C" w:rsidRPr="00487553" w:rsidRDefault="00AF5CA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1</w:t>
      </w:r>
      <w:r w:rsidR="00E91292" w:rsidRPr="00487553">
        <w:rPr>
          <w:rFonts w:asciiTheme="minorEastAsia" w:eastAsiaTheme="minorEastAsia" w:hAnsiTheme="minorEastAsia" w:hint="eastAsia"/>
          <w:kern w:val="0"/>
          <w:szCs w:val="21"/>
        </w:rPr>
        <w:t>4</w:t>
      </w:r>
      <w:r w:rsidRPr="00487553">
        <w:rPr>
          <w:rFonts w:asciiTheme="minorEastAsia" w:eastAsiaTheme="minorEastAsia" w:hAnsiTheme="minorEastAsia" w:hint="eastAsia"/>
          <w:kern w:val="0"/>
          <w:szCs w:val="21"/>
        </w:rPr>
        <w:t>）</w:t>
      </w:r>
      <w:r w:rsidR="00070B55" w:rsidRPr="00487553">
        <w:rPr>
          <w:rFonts w:asciiTheme="minorEastAsia" w:eastAsiaTheme="minorEastAsia" w:hAnsiTheme="minorEastAsia" w:hint="eastAsia"/>
          <w:kern w:val="0"/>
          <w:szCs w:val="21"/>
        </w:rPr>
        <w:t>法律法规规定或中国证监会认定的其他情形。</w:t>
      </w:r>
    </w:p>
    <w:p w14:paraId="7A4DE90F" w14:textId="77777777" w:rsidR="00AA1F53" w:rsidRPr="00487553" w:rsidRDefault="00070B55" w:rsidP="00E91292">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发生上述情形之一且基金管理人决定暂停或拒绝基金投资者的申购申请的，申购款项本金将全额退还投资者。发生上述</w:t>
      </w:r>
      <w:r w:rsidR="00AC785D"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1）到</w:t>
      </w:r>
      <w:r w:rsidR="00AC785D" w:rsidRPr="00487553">
        <w:rPr>
          <w:rFonts w:asciiTheme="minorEastAsia" w:eastAsiaTheme="minorEastAsia" w:hAnsiTheme="minorEastAsia" w:hint="eastAsia"/>
          <w:kern w:val="0"/>
          <w:szCs w:val="21"/>
        </w:rPr>
        <w:t>（</w:t>
      </w:r>
      <w:r w:rsidR="00FC17D1" w:rsidRPr="00487553">
        <w:rPr>
          <w:rFonts w:asciiTheme="minorEastAsia" w:eastAsiaTheme="minorEastAsia" w:hAnsiTheme="minorEastAsia" w:hint="eastAsia"/>
          <w:kern w:val="0"/>
          <w:szCs w:val="21"/>
        </w:rPr>
        <w:t>10</w:t>
      </w:r>
      <w:r w:rsidRPr="00487553">
        <w:rPr>
          <w:rFonts w:asciiTheme="minorEastAsia" w:eastAsiaTheme="minorEastAsia" w:hAnsiTheme="minorEastAsia" w:hint="eastAsia"/>
          <w:kern w:val="0"/>
          <w:szCs w:val="21"/>
        </w:rPr>
        <w:t>）</w:t>
      </w:r>
      <w:r w:rsidR="00E91292" w:rsidRPr="00487553">
        <w:rPr>
          <w:rFonts w:asciiTheme="minorEastAsia" w:eastAsiaTheme="minorEastAsia" w:hAnsiTheme="minorEastAsia" w:hint="eastAsia"/>
          <w:kern w:val="0"/>
          <w:szCs w:val="21"/>
        </w:rPr>
        <w:t>、（12）到（14）</w:t>
      </w:r>
      <w:r w:rsidRPr="00487553">
        <w:rPr>
          <w:rFonts w:asciiTheme="minorEastAsia" w:eastAsiaTheme="minorEastAsia" w:hAnsiTheme="minorEastAsia" w:hint="eastAsia"/>
          <w:kern w:val="0"/>
          <w:szCs w:val="21"/>
        </w:rPr>
        <w:t>项情形时，基金管理人应根据有关规定在指定媒体上及基金管理人网站上刊登暂停申购公告。基金管理人及基金托管人不承担该退回款项产生的利息等损失。在暂停申购的情况消除时，基金管理人应及时恢复申购业务的办理，按规定在指定媒体公告。</w:t>
      </w:r>
    </w:p>
    <w:p w14:paraId="19F2F01E" w14:textId="77777777" w:rsidR="00AA1F53" w:rsidRPr="00487553" w:rsidRDefault="00AA1F53"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基金管理人拒绝或暂停接受申购的方式包括：</w:t>
      </w:r>
    </w:p>
    <w:p w14:paraId="17F2788E" w14:textId="77777777" w:rsidR="00AA1F53" w:rsidRPr="00487553" w:rsidRDefault="0020643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AA1F53" w:rsidRPr="00487553">
        <w:rPr>
          <w:rFonts w:asciiTheme="minorEastAsia" w:eastAsiaTheme="minorEastAsia" w:hAnsiTheme="minorEastAsia"/>
        </w:rPr>
        <w:t>1</w:t>
      </w:r>
      <w:r w:rsidRPr="00487553">
        <w:rPr>
          <w:rFonts w:asciiTheme="minorEastAsia" w:eastAsiaTheme="minorEastAsia" w:hAnsiTheme="minorEastAsia" w:hint="eastAsia"/>
        </w:rPr>
        <w:t>）</w:t>
      </w:r>
      <w:r w:rsidR="00AA1F53" w:rsidRPr="00487553">
        <w:rPr>
          <w:rFonts w:asciiTheme="minorEastAsia" w:eastAsiaTheme="minorEastAsia" w:hAnsiTheme="minorEastAsia"/>
        </w:rPr>
        <w:t>拒绝接受、暂停接受某笔或某数笔申购申请；</w:t>
      </w:r>
    </w:p>
    <w:p w14:paraId="4C07A844" w14:textId="77777777" w:rsidR="00AA1F53" w:rsidRPr="00487553" w:rsidRDefault="0020643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AA1F53" w:rsidRPr="00487553">
        <w:rPr>
          <w:rFonts w:asciiTheme="minorEastAsia" w:eastAsiaTheme="minorEastAsia" w:hAnsiTheme="minorEastAsia"/>
        </w:rPr>
        <w:t>2</w:t>
      </w:r>
      <w:r w:rsidRPr="00487553">
        <w:rPr>
          <w:rFonts w:asciiTheme="minorEastAsia" w:eastAsiaTheme="minorEastAsia" w:hAnsiTheme="minorEastAsia" w:hint="eastAsia"/>
        </w:rPr>
        <w:t>）</w:t>
      </w:r>
      <w:r w:rsidR="00AA1F53" w:rsidRPr="00487553">
        <w:rPr>
          <w:rFonts w:asciiTheme="minorEastAsia" w:eastAsiaTheme="minorEastAsia" w:hAnsiTheme="minorEastAsia"/>
        </w:rPr>
        <w:t>拒绝接受、暂停接受某个或某数个工作日的全部申购申请；</w:t>
      </w:r>
    </w:p>
    <w:p w14:paraId="5CCF19E2" w14:textId="77777777" w:rsidR="00AA1F53" w:rsidRPr="00487553" w:rsidRDefault="0020643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lastRenderedPageBreak/>
        <w:t>（</w:t>
      </w:r>
      <w:r w:rsidR="00AA1F53" w:rsidRPr="00487553">
        <w:rPr>
          <w:rFonts w:asciiTheme="minorEastAsia" w:eastAsiaTheme="minorEastAsia" w:hAnsiTheme="minorEastAsia"/>
        </w:rPr>
        <w:t>3</w:t>
      </w:r>
      <w:r w:rsidRPr="00487553">
        <w:rPr>
          <w:rFonts w:asciiTheme="minorEastAsia" w:eastAsiaTheme="minorEastAsia" w:hAnsiTheme="minorEastAsia" w:hint="eastAsia"/>
        </w:rPr>
        <w:t>）</w:t>
      </w:r>
      <w:r w:rsidR="00AA1F53" w:rsidRPr="00487553">
        <w:rPr>
          <w:rFonts w:asciiTheme="minorEastAsia" w:eastAsiaTheme="minorEastAsia" w:hAnsiTheme="minorEastAsia"/>
        </w:rPr>
        <w:t>按比例拒绝接受、暂停接受某个或某数个工作日的申购申请。</w:t>
      </w:r>
    </w:p>
    <w:p w14:paraId="1020E37F" w14:textId="77777777" w:rsidR="006823CA" w:rsidRPr="00487553" w:rsidRDefault="00AF5CA0"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2、</w:t>
      </w:r>
      <w:r w:rsidR="00907D8B" w:rsidRPr="00487553">
        <w:rPr>
          <w:rFonts w:asciiTheme="minorEastAsia" w:eastAsiaTheme="minorEastAsia" w:hAnsiTheme="minorEastAsia" w:hint="eastAsia"/>
        </w:rPr>
        <w:t>在如下情况下，基金管理人可以拒绝或暂停接受投资者</w:t>
      </w:r>
      <w:r w:rsidR="006D6818" w:rsidRPr="00487553">
        <w:rPr>
          <w:rFonts w:asciiTheme="minorEastAsia" w:eastAsiaTheme="minorEastAsia" w:hAnsiTheme="minorEastAsia" w:hint="eastAsia"/>
          <w:kern w:val="0"/>
          <w:szCs w:val="21"/>
        </w:rPr>
        <w:t>某一类币种或多类币种份额</w:t>
      </w:r>
      <w:r w:rsidR="00907D8B" w:rsidRPr="00487553">
        <w:rPr>
          <w:rFonts w:asciiTheme="minorEastAsia" w:eastAsiaTheme="minorEastAsia" w:hAnsiTheme="minorEastAsia" w:hint="eastAsia"/>
        </w:rPr>
        <w:t>的赎回申请或延缓支付赎回款项</w:t>
      </w:r>
      <w:r w:rsidR="006823CA" w:rsidRPr="00487553">
        <w:rPr>
          <w:rFonts w:asciiTheme="minorEastAsia" w:eastAsiaTheme="minorEastAsia" w:hAnsiTheme="minorEastAsia"/>
        </w:rPr>
        <w:t>：</w:t>
      </w:r>
    </w:p>
    <w:p w14:paraId="58C4444B"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（1）不可抗力导致基金管理人不能支付赎回款项；</w:t>
      </w:r>
    </w:p>
    <w:p w14:paraId="7C7CE42F"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（2）连续2</w:t>
      </w:r>
      <w:r w:rsidR="002A43D5" w:rsidRPr="00487553">
        <w:rPr>
          <w:rFonts w:asciiTheme="minorEastAsia" w:eastAsiaTheme="minorEastAsia" w:hAnsiTheme="minorEastAsia" w:hint="eastAsia"/>
        </w:rPr>
        <w:t>个开放日以上发生巨额赎回，根据</w:t>
      </w:r>
      <w:r w:rsidRPr="00487553">
        <w:rPr>
          <w:rFonts w:asciiTheme="minorEastAsia" w:eastAsiaTheme="minorEastAsia" w:hAnsiTheme="minorEastAsia" w:hint="eastAsia"/>
        </w:rPr>
        <w:t>基金合同规定，基金管理人可以暂停接受赎回申请的情况；</w:t>
      </w:r>
    </w:p>
    <w:p w14:paraId="5E4AD157"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（3）香港证券交易所或上海证券交易所决定临时停市；</w:t>
      </w:r>
    </w:p>
    <w:p w14:paraId="774DD097" w14:textId="77777777" w:rsidR="00F464A9" w:rsidRPr="00487553" w:rsidRDefault="00F464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（4）外汇市场休市；</w:t>
      </w:r>
    </w:p>
    <w:p w14:paraId="7F4836D3"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5</w:t>
      </w:r>
      <w:r w:rsidRPr="00487553">
        <w:rPr>
          <w:rFonts w:asciiTheme="minorEastAsia" w:eastAsiaTheme="minorEastAsia" w:hAnsiTheme="minorEastAsia" w:hint="eastAsia"/>
        </w:rPr>
        <w:t>）因上海证券交易所或香港证券交易所节假日休市可能对基金正常运作造成影响；</w:t>
      </w:r>
    </w:p>
    <w:p w14:paraId="106C342B"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6</w:t>
      </w:r>
      <w:r w:rsidR="002A43D5" w:rsidRPr="00487553">
        <w:rPr>
          <w:rFonts w:asciiTheme="minorEastAsia" w:eastAsiaTheme="minorEastAsia" w:hAnsiTheme="minorEastAsia" w:hint="eastAsia"/>
        </w:rPr>
        <w:t>）发生</w:t>
      </w:r>
      <w:r w:rsidRPr="00487553">
        <w:rPr>
          <w:rFonts w:asciiTheme="minorEastAsia" w:eastAsiaTheme="minorEastAsia" w:hAnsiTheme="minorEastAsia" w:hint="eastAsia"/>
        </w:rPr>
        <w:t>基金合同规定的暂停基金资产估值情况；</w:t>
      </w:r>
    </w:p>
    <w:p w14:paraId="2219FE4F" w14:textId="773D3E96"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7</w:t>
      </w:r>
      <w:r w:rsidRPr="00487553">
        <w:rPr>
          <w:rFonts w:asciiTheme="minorEastAsia" w:eastAsiaTheme="minorEastAsia" w:hAnsiTheme="minorEastAsia" w:hint="eastAsia"/>
        </w:rPr>
        <w:t>）目标ETF暂停估值，导致基金管理人无法计算当日基金资产净值；</w:t>
      </w:r>
    </w:p>
    <w:p w14:paraId="5A3DE860" w14:textId="4FD22324"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8</w:t>
      </w:r>
      <w:r w:rsidRPr="00487553">
        <w:rPr>
          <w:rFonts w:asciiTheme="minorEastAsia" w:eastAsiaTheme="minorEastAsia" w:hAnsiTheme="minorEastAsia" w:hint="eastAsia"/>
        </w:rPr>
        <w:t>）目标ETF暂停申赎、暂停上市或目标ETF停牌，基金管理人认为有必要暂停本基金赎回的；</w:t>
      </w:r>
    </w:p>
    <w:p w14:paraId="14089640" w14:textId="77777777"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9</w:t>
      </w:r>
      <w:r w:rsidRPr="00487553">
        <w:rPr>
          <w:rFonts w:asciiTheme="minorEastAsia" w:eastAsiaTheme="minorEastAsia" w:hAnsiTheme="minorEastAsia" w:hint="eastAsia"/>
        </w:rPr>
        <w:t>）本基金的资产组合中的重要部分发生暂停交易或其他重大事件，继续接受赎回可能会影响或损害其他基金份额持有人利益时；</w:t>
      </w:r>
    </w:p>
    <w:p w14:paraId="2878D3E4" w14:textId="77777777" w:rsidR="00E91292" w:rsidRPr="00487553" w:rsidRDefault="00E91292"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10）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14:paraId="3E65A5F9" w14:textId="58A27E3F" w:rsidR="00907D8B" w:rsidRPr="00487553" w:rsidRDefault="00907D8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w:t>
      </w:r>
      <w:r w:rsidR="00F464A9" w:rsidRPr="00487553">
        <w:rPr>
          <w:rFonts w:asciiTheme="minorEastAsia" w:eastAsiaTheme="minorEastAsia" w:hAnsiTheme="minorEastAsia" w:hint="eastAsia"/>
        </w:rPr>
        <w:t>1</w:t>
      </w:r>
      <w:r w:rsidR="00E91292" w:rsidRPr="00487553">
        <w:rPr>
          <w:rFonts w:asciiTheme="minorEastAsia" w:eastAsiaTheme="minorEastAsia" w:hAnsiTheme="minorEastAsia" w:hint="eastAsia"/>
        </w:rPr>
        <w:t>1</w:t>
      </w:r>
      <w:r w:rsidRPr="00487553">
        <w:rPr>
          <w:rFonts w:asciiTheme="minorEastAsia" w:eastAsiaTheme="minorEastAsia" w:hAnsiTheme="minorEastAsia" w:hint="eastAsia"/>
        </w:rPr>
        <w:t>）法律法规规定或中国证监会认定的其他情形。</w:t>
      </w:r>
    </w:p>
    <w:p w14:paraId="5C9D1A9F" w14:textId="77777777" w:rsidR="00171768" w:rsidRPr="00487553" w:rsidRDefault="00171768"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发生上述情形之一且基金管理人决定拒绝或暂停基金份额持有人的赎回申请或延缓支付赎回款项的，基金管理人应根据有关规定刊登公告。投资者在申请赎回时可事先选择将当日可能未获受理部分予以撤销。基金管理人对已经接受的有效赎回申请决定延缓支付赎回款项的，延缓期限不得超过二十个工作日。</w:t>
      </w:r>
    </w:p>
    <w:p w14:paraId="12132573"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458" w:name="_Toc308697497"/>
      <w:bookmarkStart w:id="459" w:name="_Toc309286019"/>
      <w:bookmarkStart w:id="460" w:name="_Toc308697498"/>
      <w:bookmarkStart w:id="461" w:name="_Toc309286020"/>
      <w:bookmarkStart w:id="462" w:name="_Toc308697499"/>
      <w:bookmarkStart w:id="463" w:name="_Toc309286021"/>
      <w:bookmarkStart w:id="464" w:name="_Toc308697500"/>
      <w:bookmarkStart w:id="465" w:name="_Toc309286022"/>
      <w:bookmarkStart w:id="466" w:name="_Toc308697501"/>
      <w:bookmarkStart w:id="467" w:name="_Toc309286023"/>
      <w:bookmarkStart w:id="468" w:name="_Toc308697502"/>
      <w:bookmarkStart w:id="469" w:name="_Toc309286024"/>
      <w:bookmarkStart w:id="470" w:name="_Toc308697503"/>
      <w:bookmarkStart w:id="471" w:name="_Toc309286025"/>
      <w:bookmarkStart w:id="472" w:name="_Toc308697504"/>
      <w:bookmarkStart w:id="473" w:name="_Toc309286026"/>
      <w:bookmarkStart w:id="474" w:name="_Toc308697505"/>
      <w:bookmarkStart w:id="475" w:name="_Toc309286027"/>
      <w:bookmarkStart w:id="476" w:name="_Toc308697506"/>
      <w:bookmarkStart w:id="477" w:name="_Toc309286028"/>
      <w:bookmarkStart w:id="478" w:name="_Toc308697507"/>
      <w:bookmarkStart w:id="479" w:name="_Toc309286029"/>
      <w:bookmarkStart w:id="480" w:name="_Toc308697508"/>
      <w:bookmarkStart w:id="481" w:name="_Toc309286030"/>
      <w:bookmarkStart w:id="482" w:name="_Toc308697509"/>
      <w:bookmarkStart w:id="483" w:name="_Toc309286031"/>
      <w:bookmarkStart w:id="484" w:name="_Toc308697510"/>
      <w:bookmarkStart w:id="485" w:name="_Toc309286032"/>
      <w:bookmarkStart w:id="486" w:name="_Toc308697511"/>
      <w:bookmarkStart w:id="487" w:name="_Toc309286033"/>
      <w:bookmarkStart w:id="488" w:name="_Toc308697512"/>
      <w:bookmarkStart w:id="489" w:name="_Toc309286034"/>
      <w:bookmarkStart w:id="490" w:name="_Toc308697513"/>
      <w:bookmarkStart w:id="491" w:name="_Toc309286035"/>
      <w:bookmarkStart w:id="492" w:name="_Toc277752504"/>
      <w:bookmarkStart w:id="493" w:name="_Toc277786083"/>
      <w:bookmarkStart w:id="494" w:name="_Toc277787604"/>
      <w:bookmarkStart w:id="495" w:name="_Toc277787878"/>
      <w:bookmarkStart w:id="496" w:name="_Toc278409389"/>
      <w:bookmarkStart w:id="497" w:name="_Toc277752505"/>
      <w:bookmarkStart w:id="498" w:name="_Toc277786084"/>
      <w:bookmarkStart w:id="499" w:name="_Toc277787605"/>
      <w:bookmarkStart w:id="500" w:name="_Toc277787879"/>
      <w:bookmarkStart w:id="501" w:name="_Toc278409390"/>
      <w:bookmarkStart w:id="502" w:name="_Toc277752506"/>
      <w:bookmarkStart w:id="503" w:name="_Toc277786085"/>
      <w:bookmarkStart w:id="504" w:name="_Toc277787606"/>
      <w:bookmarkStart w:id="505" w:name="_Toc277787880"/>
      <w:bookmarkStart w:id="506" w:name="_Toc278409391"/>
      <w:bookmarkStart w:id="507" w:name="_Toc277752507"/>
      <w:bookmarkStart w:id="508" w:name="_Toc277786086"/>
      <w:bookmarkStart w:id="509" w:name="_Toc277787607"/>
      <w:bookmarkStart w:id="510" w:name="_Toc277787881"/>
      <w:bookmarkStart w:id="511" w:name="_Toc278409392"/>
      <w:bookmarkStart w:id="512" w:name="_Toc277752508"/>
      <w:bookmarkStart w:id="513" w:name="_Toc277786087"/>
      <w:bookmarkStart w:id="514" w:name="_Toc277787608"/>
      <w:bookmarkStart w:id="515" w:name="_Toc277787882"/>
      <w:bookmarkStart w:id="516" w:name="_Toc278409393"/>
      <w:bookmarkStart w:id="517" w:name="_Toc277752509"/>
      <w:bookmarkStart w:id="518" w:name="_Toc277786088"/>
      <w:bookmarkStart w:id="519" w:name="_Toc277787609"/>
      <w:bookmarkStart w:id="520" w:name="_Toc277787883"/>
      <w:bookmarkStart w:id="521" w:name="_Toc278409394"/>
      <w:bookmarkStart w:id="522" w:name="_Toc20148448"/>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487553">
        <w:rPr>
          <w:rFonts w:asciiTheme="minorEastAsia" w:eastAsiaTheme="minorEastAsia" w:hAnsiTheme="minorEastAsia"/>
          <w:bCs/>
        </w:rPr>
        <w:t>巨额赎回的认定及处理方式</w:t>
      </w:r>
      <w:bookmarkEnd w:id="522"/>
    </w:p>
    <w:p w14:paraId="03905E89" w14:textId="77777777" w:rsidR="00305EEE" w:rsidRPr="00487553" w:rsidRDefault="00305EEE"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w:t>
      </w:r>
      <w:r w:rsidRPr="00487553">
        <w:rPr>
          <w:rFonts w:asciiTheme="minorEastAsia" w:eastAsiaTheme="minorEastAsia" w:hAnsiTheme="minorEastAsia" w:hint="eastAsia"/>
        </w:rPr>
        <w:t>、巨额赎回的认定</w:t>
      </w:r>
    </w:p>
    <w:p w14:paraId="54875242" w14:textId="77777777" w:rsidR="00305EEE" w:rsidRPr="00487553" w:rsidRDefault="00AF6E3B"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在单个开放日，本基金的基金份额净赎回申请（赎回申请总数加上基金转换中转出申请份额总数后扣除申购申请总数及基金转换中转入申请份额总数后的余额</w:t>
      </w:r>
      <w:r w:rsidR="008C267B" w:rsidRPr="00487553">
        <w:rPr>
          <w:rFonts w:asciiTheme="minorEastAsia" w:eastAsiaTheme="minorEastAsia" w:hAnsiTheme="minorEastAsia" w:hint="eastAsia"/>
          <w:szCs w:val="21"/>
        </w:rPr>
        <w:t>）</w:t>
      </w:r>
      <w:r w:rsidRPr="00487553">
        <w:rPr>
          <w:rFonts w:asciiTheme="minorEastAsia" w:eastAsiaTheme="minorEastAsia" w:hAnsiTheme="minorEastAsia" w:hint="eastAsia"/>
          <w:szCs w:val="21"/>
        </w:rPr>
        <w:t>超过上一日基金总份额的10%，为巨额赎回。</w:t>
      </w:r>
    </w:p>
    <w:p w14:paraId="666B996C" w14:textId="77777777" w:rsidR="00305EEE" w:rsidRPr="00487553" w:rsidRDefault="00305EEE"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2</w:t>
      </w:r>
      <w:r w:rsidRPr="00487553">
        <w:rPr>
          <w:rFonts w:asciiTheme="minorEastAsia" w:eastAsiaTheme="minorEastAsia" w:hAnsiTheme="minorEastAsia" w:hint="eastAsia"/>
        </w:rPr>
        <w:t>、巨额赎回的处理方式</w:t>
      </w:r>
    </w:p>
    <w:p w14:paraId="48E9B035" w14:textId="77777777" w:rsidR="00AF6E3B" w:rsidRPr="00487553" w:rsidRDefault="00AF6E3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出现巨额赎回时，基金管理人可以根据本基金当时的资产组合状况决定接受全额赎回或部分延期赎回。</w:t>
      </w:r>
    </w:p>
    <w:p w14:paraId="4819B147" w14:textId="77777777" w:rsidR="00AF6E3B" w:rsidRPr="00487553" w:rsidRDefault="00AF6E3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（1）接受全额赎回：当基金管理人认为有能力兑付投资者的全部赎回申请时，按正常赎回程序执行。</w:t>
      </w:r>
    </w:p>
    <w:p w14:paraId="1CB2CA56" w14:textId="77777777" w:rsidR="00AF6E3B" w:rsidRPr="00487553" w:rsidRDefault="00AF6E3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szCs w:val="21"/>
        </w:rPr>
        <w:t>（2）部分延期赎回：当基金管理人认为兑付投资者的赎回申请有困难，或认为兑付投</w:t>
      </w:r>
      <w:r w:rsidRPr="00487553">
        <w:rPr>
          <w:rFonts w:asciiTheme="minorEastAsia" w:eastAsiaTheme="minorEastAsia" w:hAnsiTheme="minorEastAsia" w:hint="eastAsia"/>
          <w:szCs w:val="21"/>
        </w:rPr>
        <w:lastRenderedPageBreak/>
        <w:t>资者的赎回申请进行的资产变现可能使基金资产净值发生较大波动时，基金管理人在当日接受赎回比例不低于上一日基金总份额10％的前提下，对其余赎回申请延期办理。对于当日的赎回申请，应当按单个基金份额持有人申请赎回份额占当日申请赎回总份额的比例，确定该单个基金份额持有人当日办理的赎回份额；未受理部分除投资者在提交赎回申请时</w:t>
      </w:r>
      <w:r w:rsidRPr="00487553">
        <w:rPr>
          <w:rFonts w:asciiTheme="minorEastAsia" w:eastAsiaTheme="minorEastAsia" w:hAnsiTheme="minorEastAsia" w:hint="eastAsia"/>
        </w:rPr>
        <w:t>选择将当日未获受理部分予以撤销者外，延迟至下一开放日办理，赎回价格为下一个开放日</w:t>
      </w:r>
      <w:r w:rsidR="00CF0EC7" w:rsidRPr="00487553">
        <w:rPr>
          <w:rFonts w:asciiTheme="minorEastAsia" w:eastAsiaTheme="minorEastAsia" w:hAnsiTheme="minorEastAsia" w:hint="eastAsia"/>
        </w:rPr>
        <w:t>该类基金份额</w:t>
      </w:r>
      <w:r w:rsidRPr="00487553">
        <w:rPr>
          <w:rFonts w:asciiTheme="minorEastAsia" w:eastAsiaTheme="minorEastAsia" w:hAnsiTheme="minorEastAsia" w:hint="eastAsia"/>
        </w:rPr>
        <w:t>的价格。转入下一开放日的赎回申请不享有赎回优先权，以此类推，直到全部赎回为止。部分顺延赎回不受单笔赎回最低份额的限制。</w:t>
      </w:r>
    </w:p>
    <w:p w14:paraId="1208FB0B" w14:textId="77777777" w:rsidR="00E91292" w:rsidRPr="00487553" w:rsidRDefault="00E91292"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14:paraId="7D939881" w14:textId="77777777" w:rsidR="00AF6E3B" w:rsidRPr="00487553" w:rsidRDefault="00AF6E3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（3）当发生巨额赎回并延期办理时，基金管理人应当通过邮寄、传真或其他方式，在三个工作日内通知基金份额持有人，说明有关处理方法，同时在指定媒体予以公告。</w:t>
      </w:r>
    </w:p>
    <w:p w14:paraId="224E7FF5" w14:textId="77777777" w:rsidR="00305EEE" w:rsidRPr="00487553" w:rsidRDefault="00AF6E3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4）暂停接受和延缓支付：本基金连续两个或两个开放日以上发生巨额赎回，如基金管理人认为有必要，可暂停接受赎回申请；已经接受的赎回申请可以延缓支付赎回款项，但延缓期限不得超过二十个工作日，并应当在指定媒体公告。</w:t>
      </w:r>
    </w:p>
    <w:p w14:paraId="388F8D7B" w14:textId="77777777" w:rsidR="003C6CBE" w:rsidRPr="00487553" w:rsidRDefault="003C6CB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523" w:name="_Toc20148449"/>
      <w:r w:rsidRPr="00487553">
        <w:rPr>
          <w:rFonts w:asciiTheme="minorEastAsia" w:eastAsiaTheme="minorEastAsia" w:hAnsiTheme="minorEastAsia"/>
          <w:bCs/>
        </w:rPr>
        <w:t>其他暂停申购和赎回的情形及处理方式</w:t>
      </w:r>
      <w:bookmarkEnd w:id="523"/>
    </w:p>
    <w:p w14:paraId="7633795A" w14:textId="77777777" w:rsidR="003C6CBE" w:rsidRPr="00487553" w:rsidRDefault="003C6CBE"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发生基金合同或招募说明书中未予载明的事项，但基金管理人有正当理由认为需要暂停基金申购、赎回的，可以经届时有效的合法程序宣布暂停接受投资者的申购、赎回申请。</w:t>
      </w:r>
    </w:p>
    <w:p w14:paraId="2FC37173"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524" w:name="_Toc308697516"/>
      <w:bookmarkStart w:id="525" w:name="_Toc309286038"/>
      <w:bookmarkStart w:id="526" w:name="_Toc308697517"/>
      <w:bookmarkStart w:id="527" w:name="_Toc309286039"/>
      <w:bookmarkStart w:id="528" w:name="_Toc79392618"/>
      <w:bookmarkStart w:id="529" w:name="_Toc15118274"/>
      <w:bookmarkStart w:id="530" w:name="_Toc59441259"/>
      <w:bookmarkStart w:id="531" w:name="_Toc20148450"/>
      <w:bookmarkEnd w:id="524"/>
      <w:bookmarkEnd w:id="525"/>
      <w:bookmarkEnd w:id="526"/>
      <w:bookmarkEnd w:id="527"/>
      <w:r w:rsidRPr="00487553">
        <w:rPr>
          <w:rFonts w:asciiTheme="minorEastAsia" w:eastAsiaTheme="minorEastAsia" w:hAnsiTheme="minorEastAsia"/>
          <w:bCs/>
        </w:rPr>
        <w:t>基金的转换</w:t>
      </w:r>
      <w:bookmarkEnd w:id="528"/>
      <w:bookmarkEnd w:id="529"/>
      <w:bookmarkEnd w:id="530"/>
      <w:bookmarkEnd w:id="531"/>
    </w:p>
    <w:p w14:paraId="77E41713" w14:textId="77777777" w:rsidR="00305EEE" w:rsidRPr="00487553" w:rsidRDefault="008A567A"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基金管理人可以根据相关法律法规以及</w:t>
      </w:r>
      <w:r w:rsidR="00E65A18" w:rsidRPr="00487553">
        <w:rPr>
          <w:rFonts w:asciiTheme="minorEastAsia" w:eastAsiaTheme="minorEastAsia" w:hAnsiTheme="minorEastAsia" w:hint="eastAsia"/>
        </w:rPr>
        <w:t>基金合同的规定，在条件成熟的情况下提供本基金与基金管理人管理的其他基金之间的转换服务。基金转换可以收取一定的转换</w:t>
      </w:r>
      <w:r w:rsidRPr="00487553">
        <w:rPr>
          <w:rFonts w:asciiTheme="minorEastAsia" w:eastAsiaTheme="minorEastAsia" w:hAnsiTheme="minorEastAsia" w:hint="eastAsia"/>
        </w:rPr>
        <w:t>费。基金转换的程序及相关规则由基金管理人届时根据相关法律法规及</w:t>
      </w:r>
      <w:r w:rsidR="00E65A18" w:rsidRPr="00487553">
        <w:rPr>
          <w:rFonts w:asciiTheme="minorEastAsia" w:eastAsiaTheme="minorEastAsia" w:hAnsiTheme="minorEastAsia" w:hint="eastAsia"/>
        </w:rPr>
        <w:t>基金合同的规定制定并公告。</w:t>
      </w:r>
    </w:p>
    <w:p w14:paraId="04562CFE" w14:textId="77777777" w:rsidR="0064594E" w:rsidRPr="00487553" w:rsidRDefault="0064594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532" w:name="_Toc20148451"/>
      <w:r w:rsidRPr="00487553">
        <w:rPr>
          <w:rFonts w:asciiTheme="minorEastAsia" w:eastAsiaTheme="minorEastAsia" w:hAnsiTheme="minorEastAsia"/>
          <w:bCs/>
        </w:rPr>
        <w:t>定期定额投资计划</w:t>
      </w:r>
      <w:bookmarkEnd w:id="532"/>
    </w:p>
    <w:p w14:paraId="7908ADC3" w14:textId="77777777" w:rsidR="00A31190" w:rsidRPr="00487553" w:rsidRDefault="00A31190" w:rsidP="00D94E68">
      <w:pPr>
        <w:snapToGrid w:val="0"/>
        <w:spacing w:line="360" w:lineRule="auto"/>
        <w:ind w:firstLineChars="200" w:firstLine="420"/>
        <w:jc w:val="left"/>
        <w:rPr>
          <w:rFonts w:asciiTheme="minorEastAsia" w:eastAsiaTheme="minorEastAsia" w:hAnsiTheme="minorEastAsia"/>
          <w:bCs/>
          <w:szCs w:val="21"/>
        </w:rPr>
      </w:pPr>
      <w:r w:rsidRPr="00487553">
        <w:rPr>
          <w:rFonts w:asciiTheme="minorEastAsia" w:eastAsiaTheme="minorEastAsia" w:hAnsiTheme="minorEastAsia" w:hint="eastAsia"/>
          <w:szCs w:val="21"/>
        </w:rPr>
        <w:t>本基金</w:t>
      </w:r>
      <w:r w:rsidR="00C76B2C" w:rsidRPr="00487553">
        <w:rPr>
          <w:rFonts w:asciiTheme="minorEastAsia" w:eastAsiaTheme="minorEastAsia" w:hAnsiTheme="minorEastAsia"/>
          <w:szCs w:val="21"/>
        </w:rPr>
        <w:t>A类</w:t>
      </w:r>
      <w:r w:rsidR="00C76B2C" w:rsidRPr="00487553">
        <w:rPr>
          <w:rFonts w:asciiTheme="minorEastAsia" w:eastAsiaTheme="minorEastAsia" w:hAnsiTheme="minorEastAsia" w:hint="eastAsia"/>
          <w:szCs w:val="21"/>
        </w:rPr>
        <w:t>人民币</w:t>
      </w:r>
      <w:r w:rsidR="00C76B2C" w:rsidRPr="00487553">
        <w:rPr>
          <w:rFonts w:asciiTheme="minorEastAsia" w:eastAsiaTheme="minorEastAsia" w:hAnsiTheme="minorEastAsia"/>
          <w:szCs w:val="21"/>
        </w:rPr>
        <w:t>基金份额</w:t>
      </w:r>
      <w:r w:rsidR="00C76B2C" w:rsidRPr="00487553">
        <w:rPr>
          <w:rFonts w:asciiTheme="minorEastAsia" w:eastAsiaTheme="minorEastAsia" w:hAnsiTheme="minorEastAsia" w:hint="eastAsia"/>
          <w:szCs w:val="21"/>
        </w:rPr>
        <w:t>、</w:t>
      </w:r>
      <w:r w:rsidR="00C76B2C" w:rsidRPr="00487553">
        <w:rPr>
          <w:rFonts w:asciiTheme="minorEastAsia" w:eastAsiaTheme="minorEastAsia" w:hAnsiTheme="minorEastAsia"/>
          <w:szCs w:val="21"/>
        </w:rPr>
        <w:t>A类</w:t>
      </w:r>
      <w:r w:rsidR="00C76B2C" w:rsidRPr="00487553">
        <w:rPr>
          <w:rFonts w:asciiTheme="minorEastAsia" w:eastAsiaTheme="minorEastAsia" w:hAnsiTheme="minorEastAsia" w:hint="eastAsia"/>
          <w:szCs w:val="21"/>
        </w:rPr>
        <w:t>美元现钞</w:t>
      </w:r>
      <w:r w:rsidR="00C76B2C" w:rsidRPr="00487553">
        <w:rPr>
          <w:rFonts w:asciiTheme="minorEastAsia" w:eastAsiaTheme="minorEastAsia" w:hAnsiTheme="minorEastAsia"/>
          <w:szCs w:val="21"/>
        </w:rPr>
        <w:t>基金份额</w:t>
      </w:r>
      <w:r w:rsidR="00C76B2C" w:rsidRPr="00487553">
        <w:rPr>
          <w:rFonts w:asciiTheme="minorEastAsia" w:eastAsiaTheme="minorEastAsia" w:hAnsiTheme="minorEastAsia" w:hint="eastAsia"/>
          <w:szCs w:val="21"/>
        </w:rPr>
        <w:t>和</w:t>
      </w:r>
      <w:r w:rsidR="00C76B2C" w:rsidRPr="00487553">
        <w:rPr>
          <w:rFonts w:asciiTheme="minorEastAsia" w:eastAsiaTheme="minorEastAsia" w:hAnsiTheme="minorEastAsia"/>
          <w:szCs w:val="21"/>
        </w:rPr>
        <w:t>A类</w:t>
      </w:r>
      <w:r w:rsidR="00C76B2C" w:rsidRPr="00487553">
        <w:rPr>
          <w:rFonts w:asciiTheme="minorEastAsia" w:eastAsiaTheme="minorEastAsia" w:hAnsiTheme="minorEastAsia" w:hint="eastAsia"/>
          <w:szCs w:val="21"/>
        </w:rPr>
        <w:t>美元</w:t>
      </w:r>
      <w:r w:rsidR="0081479A" w:rsidRPr="00487553">
        <w:rPr>
          <w:rFonts w:asciiTheme="minorEastAsia" w:eastAsiaTheme="minorEastAsia" w:hAnsiTheme="minorEastAsia" w:hint="eastAsia"/>
          <w:szCs w:val="21"/>
        </w:rPr>
        <w:t>现汇基金</w:t>
      </w:r>
      <w:r w:rsidR="0081479A" w:rsidRPr="00487553">
        <w:rPr>
          <w:rFonts w:asciiTheme="minorEastAsia" w:eastAsiaTheme="minorEastAsia" w:hAnsiTheme="minorEastAsia"/>
          <w:szCs w:val="21"/>
        </w:rPr>
        <w:t>份额</w:t>
      </w:r>
      <w:r w:rsidRPr="00487553">
        <w:rPr>
          <w:rFonts w:asciiTheme="minorEastAsia" w:eastAsiaTheme="minorEastAsia" w:hAnsiTheme="minorEastAsia" w:hint="eastAsia"/>
        </w:rPr>
        <w:t>已于2012年10月9日开通</w:t>
      </w:r>
      <w:r w:rsidRPr="00487553">
        <w:rPr>
          <w:rFonts w:asciiTheme="minorEastAsia" w:eastAsiaTheme="minorEastAsia" w:hAnsiTheme="minorEastAsia" w:hint="eastAsia"/>
          <w:szCs w:val="21"/>
        </w:rPr>
        <w:t>定期定额投资</w:t>
      </w:r>
      <w:r w:rsidRPr="00487553">
        <w:rPr>
          <w:rFonts w:asciiTheme="minorEastAsia" w:eastAsiaTheme="minorEastAsia" w:hAnsiTheme="minorEastAsia" w:hint="eastAsia"/>
        </w:rPr>
        <w:t>业务，</w:t>
      </w:r>
      <w:r w:rsidR="00C76B2C" w:rsidRPr="00487553">
        <w:rPr>
          <w:rFonts w:asciiTheme="minorEastAsia" w:eastAsiaTheme="minorEastAsia" w:hAnsiTheme="minorEastAsia" w:hint="eastAsia"/>
          <w:kern w:val="0"/>
          <w:szCs w:val="21"/>
        </w:rPr>
        <w:t>C类</w:t>
      </w:r>
      <w:r w:rsidR="00C76B2C" w:rsidRPr="00487553">
        <w:rPr>
          <w:rFonts w:asciiTheme="minorEastAsia" w:eastAsiaTheme="minorEastAsia" w:hAnsiTheme="minorEastAsia"/>
          <w:kern w:val="0"/>
          <w:szCs w:val="21"/>
        </w:rPr>
        <w:t>基金份额已于</w:t>
      </w:r>
      <w:r w:rsidR="00C76B2C" w:rsidRPr="00487553">
        <w:rPr>
          <w:rFonts w:asciiTheme="minorEastAsia" w:eastAsiaTheme="minorEastAsia" w:hAnsiTheme="minorEastAsia" w:hint="eastAsia"/>
          <w:kern w:val="0"/>
          <w:szCs w:val="21"/>
        </w:rPr>
        <w:t>2018年2月9日</w:t>
      </w:r>
      <w:r w:rsidR="00C76B2C" w:rsidRPr="00487553">
        <w:rPr>
          <w:rFonts w:asciiTheme="minorEastAsia" w:eastAsiaTheme="minorEastAsia" w:hAnsiTheme="minorEastAsia" w:hint="eastAsia"/>
        </w:rPr>
        <w:t>开通</w:t>
      </w:r>
      <w:r w:rsidR="00C76B2C" w:rsidRPr="00487553">
        <w:rPr>
          <w:rFonts w:asciiTheme="minorEastAsia" w:eastAsiaTheme="minorEastAsia" w:hAnsiTheme="minorEastAsia" w:hint="eastAsia"/>
          <w:szCs w:val="21"/>
        </w:rPr>
        <w:t>定期定额投资</w:t>
      </w:r>
      <w:r w:rsidR="00C76B2C" w:rsidRPr="00487553">
        <w:rPr>
          <w:rFonts w:asciiTheme="minorEastAsia" w:eastAsiaTheme="minorEastAsia" w:hAnsiTheme="minorEastAsia" w:hint="eastAsia"/>
        </w:rPr>
        <w:t>业务，</w:t>
      </w:r>
      <w:r w:rsidR="00C76B2C" w:rsidRPr="00487553">
        <w:rPr>
          <w:rFonts w:asciiTheme="minorEastAsia" w:eastAsiaTheme="minorEastAsia" w:hAnsiTheme="minorEastAsia"/>
        </w:rPr>
        <w:t>具体实施方法参见相关公告。</w:t>
      </w:r>
    </w:p>
    <w:p w14:paraId="5CFF1975" w14:textId="77777777" w:rsidR="0064594E" w:rsidRPr="00487553" w:rsidRDefault="00305EEE" w:rsidP="001016DC">
      <w:pPr>
        <w:pStyle w:val="2"/>
        <w:numPr>
          <w:ilvl w:val="0"/>
          <w:numId w:val="44"/>
        </w:numPr>
        <w:snapToGrid w:val="0"/>
        <w:spacing w:beforeLines="0" w:afterLines="0" w:line="360" w:lineRule="auto"/>
        <w:ind w:firstLineChars="0"/>
        <w:rPr>
          <w:rFonts w:asciiTheme="minorEastAsia" w:eastAsiaTheme="minorEastAsia" w:hAnsiTheme="minorEastAsia"/>
          <w:bCs/>
        </w:rPr>
      </w:pPr>
      <w:bookmarkStart w:id="533" w:name="_Toc20148452"/>
      <w:r w:rsidRPr="00487553">
        <w:rPr>
          <w:rFonts w:asciiTheme="minorEastAsia" w:eastAsiaTheme="minorEastAsia" w:hAnsiTheme="minorEastAsia" w:hint="eastAsia"/>
          <w:bCs/>
        </w:rPr>
        <w:t>基金的非交易过户、转托管、冻结与质押</w:t>
      </w:r>
      <w:bookmarkEnd w:id="533"/>
    </w:p>
    <w:p w14:paraId="41809504" w14:textId="77777777" w:rsidR="00305EEE" w:rsidRPr="00487553" w:rsidRDefault="00911462"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（一）</w:t>
      </w:r>
      <w:r w:rsidR="0081120E" w:rsidRPr="00487553">
        <w:rPr>
          <w:rFonts w:asciiTheme="minorEastAsia" w:eastAsiaTheme="minorEastAsia" w:hAnsiTheme="minorEastAsia" w:hint="eastAsia"/>
          <w:kern w:val="0"/>
          <w:szCs w:val="21"/>
        </w:rPr>
        <w:t>非交易过户是指不采用申购、赎回等基金交易方式，将一定数量的基金份额按照一定规则从某一投资者基金账户转移到另一投资者基金账户的行为，包括继承、捐赠、司法强制执行，以及基金注册登记机构认可的、符合法律法规的其它行为。无论在上述何种情况下，接受划转的主体必须是依法可以持有本基金基金份额个人投资者或机构投资者。其中：</w:t>
      </w:r>
    </w:p>
    <w:p w14:paraId="7CE1896D" w14:textId="77777777" w:rsidR="0081120E" w:rsidRPr="00487553" w:rsidRDefault="0081120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1、“继承”是指基金份额持有人死亡，其持有的基金份额由其合法的继承人继承。</w:t>
      </w:r>
    </w:p>
    <w:p w14:paraId="736205AB" w14:textId="77777777" w:rsidR="0081120E" w:rsidRPr="00487553" w:rsidRDefault="0081120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2、“捐赠”仅指基金份额持有人将其合法持有的基金份额捐赠给福利性质的基金会或其他具有社会公益性质的社会团体。</w:t>
      </w:r>
    </w:p>
    <w:p w14:paraId="128060B1" w14:textId="77777777" w:rsidR="0081120E" w:rsidRPr="00487553" w:rsidRDefault="0081120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3、“司法强制执行”是指司法机关依据生效的司法文书将基金份额持有人持有的基金份额强制执行划转给其他自然人、法人、社会团体或其他组织。</w:t>
      </w:r>
    </w:p>
    <w:p w14:paraId="620A2B9C" w14:textId="77777777" w:rsidR="00305EEE" w:rsidRPr="00487553" w:rsidRDefault="0081120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基金注册登记机构</w:t>
      </w:r>
      <w:r w:rsidR="00C40A9B" w:rsidRPr="00487553">
        <w:rPr>
          <w:rFonts w:asciiTheme="minorEastAsia" w:eastAsiaTheme="minorEastAsia" w:hAnsiTheme="minorEastAsia" w:hint="eastAsia"/>
          <w:kern w:val="0"/>
          <w:szCs w:val="21"/>
        </w:rPr>
        <w:t>可</w:t>
      </w:r>
      <w:r w:rsidRPr="00487553">
        <w:rPr>
          <w:rFonts w:asciiTheme="minorEastAsia" w:eastAsiaTheme="minorEastAsia" w:hAnsiTheme="minorEastAsia" w:hint="eastAsia"/>
          <w:kern w:val="0"/>
          <w:szCs w:val="21"/>
        </w:rPr>
        <w:t>以办理的非交易过户情形，以其公告的业务规则为准。</w:t>
      </w:r>
    </w:p>
    <w:p w14:paraId="3B37DA30" w14:textId="77777777" w:rsidR="00305EEE" w:rsidRPr="00487553" w:rsidRDefault="00305EE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（二）</w:t>
      </w:r>
      <w:r w:rsidR="0081120E" w:rsidRPr="00487553">
        <w:rPr>
          <w:rFonts w:asciiTheme="minorEastAsia" w:eastAsiaTheme="minorEastAsia" w:hAnsiTheme="minorEastAsia" w:hint="eastAsia"/>
          <w:kern w:val="0"/>
          <w:szCs w:val="21"/>
        </w:rPr>
        <w:t>办理非交易过户业务必须提供注册登记机构要求提供的相关资料；符合条件的非交易过户申请按注册登记机构的规定办理，申请人按注册登记机构规定的标准缴纳过户费。</w:t>
      </w:r>
    </w:p>
    <w:p w14:paraId="68BA2718" w14:textId="77777777" w:rsidR="00551A8E" w:rsidRPr="00487553" w:rsidRDefault="00305EE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szCs w:val="21"/>
        </w:rPr>
        <w:t>（三）</w:t>
      </w:r>
      <w:r w:rsidR="0081120E" w:rsidRPr="00487553">
        <w:rPr>
          <w:rFonts w:asciiTheme="minorEastAsia" w:eastAsiaTheme="minorEastAsia" w:hAnsiTheme="minorEastAsia" w:hint="eastAsia"/>
          <w:szCs w:val="21"/>
        </w:rPr>
        <w:t>基金份额持有人可以办理其</w:t>
      </w:r>
      <w:r w:rsidR="00DE38DF" w:rsidRPr="00487553">
        <w:rPr>
          <w:rFonts w:asciiTheme="minorEastAsia" w:eastAsiaTheme="minorEastAsia" w:hAnsiTheme="minorEastAsia" w:hint="eastAsia"/>
          <w:szCs w:val="21"/>
        </w:rPr>
        <w:t>每类</w:t>
      </w:r>
      <w:r w:rsidR="0081120E" w:rsidRPr="00487553">
        <w:rPr>
          <w:rFonts w:asciiTheme="minorEastAsia" w:eastAsiaTheme="minorEastAsia" w:hAnsiTheme="minorEastAsia" w:hint="eastAsia"/>
          <w:szCs w:val="21"/>
        </w:rPr>
        <w:t>基金份额在</w:t>
      </w:r>
      <w:r w:rsidR="00DE38DF" w:rsidRPr="00487553">
        <w:rPr>
          <w:rFonts w:asciiTheme="minorEastAsia" w:eastAsiaTheme="minorEastAsia" w:hAnsiTheme="minorEastAsia" w:hint="eastAsia"/>
          <w:szCs w:val="21"/>
        </w:rPr>
        <w:t>在该类份额的</w:t>
      </w:r>
      <w:r w:rsidR="0081120E" w:rsidRPr="00487553">
        <w:rPr>
          <w:rFonts w:asciiTheme="minorEastAsia" w:eastAsiaTheme="minorEastAsia" w:hAnsiTheme="minorEastAsia" w:hint="eastAsia"/>
          <w:szCs w:val="21"/>
        </w:rPr>
        <w:t>不同销售机构</w:t>
      </w:r>
      <w:r w:rsidR="00DE38DF" w:rsidRPr="00487553">
        <w:rPr>
          <w:rFonts w:asciiTheme="minorEastAsia" w:eastAsiaTheme="minorEastAsia" w:hAnsiTheme="minorEastAsia" w:hint="eastAsia"/>
          <w:szCs w:val="21"/>
        </w:rPr>
        <w:t>之间</w:t>
      </w:r>
      <w:r w:rsidR="0081120E" w:rsidRPr="00487553">
        <w:rPr>
          <w:rFonts w:asciiTheme="minorEastAsia" w:eastAsiaTheme="minorEastAsia" w:hAnsiTheme="minorEastAsia" w:hint="eastAsia"/>
          <w:szCs w:val="21"/>
        </w:rPr>
        <w:t>的转托管手续。基金销售机构可以按照其业务规则规定的标准收取转托管费。</w:t>
      </w:r>
    </w:p>
    <w:p w14:paraId="487AC4BF" w14:textId="77777777" w:rsidR="00305EEE" w:rsidRPr="00487553" w:rsidRDefault="00551A8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（四）</w:t>
      </w:r>
      <w:r w:rsidR="0081120E" w:rsidRPr="00487553">
        <w:rPr>
          <w:rFonts w:asciiTheme="minorEastAsia" w:eastAsiaTheme="minorEastAsia" w:hAnsiTheme="minorEastAsia" w:hint="eastAsia"/>
          <w:kern w:val="0"/>
          <w:szCs w:val="21"/>
        </w:rPr>
        <w:t>基金注册登记机构只受理国家有权机关依法要求的基金账户或基金份额的冻结与解冻，以及注册登记机构认可、符合法律法规的其他情况下的冻结与解冻。基金账户或基金份额被冻结的，被冻结部分产生的权益（包括现金分红和红利再投资）一并冻结。</w:t>
      </w:r>
    </w:p>
    <w:p w14:paraId="28DAA4FC" w14:textId="77777777" w:rsidR="00305EEE" w:rsidRPr="00487553" w:rsidRDefault="00305EEE"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hint="eastAsia"/>
          <w:kern w:val="0"/>
          <w:szCs w:val="21"/>
        </w:rPr>
        <w:t>（五）</w:t>
      </w:r>
      <w:r w:rsidR="0081120E" w:rsidRPr="00487553">
        <w:rPr>
          <w:rFonts w:asciiTheme="minorEastAsia" w:eastAsiaTheme="minorEastAsia" w:hAnsiTheme="minorEastAsia" w:cs="宋体" w:hint="eastAsia"/>
          <w:kern w:val="0"/>
          <w:szCs w:val="21"/>
        </w:rPr>
        <w:t>如相关法律法规允许基金管理人办理基金份额的质押业务或其他基金业务，基金管理人将制定和实施相应的业务规则。</w:t>
      </w:r>
    </w:p>
    <w:p w14:paraId="66F829F7" w14:textId="7777777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534" w:name="_Toc296527004"/>
      <w:bookmarkStart w:id="535" w:name="_Toc20148453"/>
      <w:bookmarkStart w:id="536" w:name="_Toc91334992"/>
      <w:bookmarkEnd w:id="534"/>
      <w:r w:rsidRPr="00487553">
        <w:rPr>
          <w:rFonts w:asciiTheme="minorEastAsia" w:eastAsiaTheme="minorEastAsia" w:hAnsiTheme="minorEastAsia"/>
        </w:rPr>
        <w:lastRenderedPageBreak/>
        <w:t>基金的费用与税收</w:t>
      </w:r>
      <w:bookmarkEnd w:id="535"/>
    </w:p>
    <w:p w14:paraId="596EE170" w14:textId="77777777" w:rsidR="0064594E" w:rsidRPr="00487553" w:rsidRDefault="00A37997" w:rsidP="00D94E68">
      <w:pPr>
        <w:pStyle w:val="2"/>
        <w:numPr>
          <w:ilvl w:val="1"/>
          <w:numId w:val="23"/>
        </w:numPr>
        <w:snapToGrid w:val="0"/>
        <w:spacing w:beforeLines="0" w:afterLines="0" w:line="360" w:lineRule="auto"/>
        <w:ind w:firstLineChars="0"/>
        <w:rPr>
          <w:rFonts w:asciiTheme="minorEastAsia" w:eastAsiaTheme="minorEastAsia" w:hAnsiTheme="minorEastAsia"/>
        </w:rPr>
      </w:pPr>
      <w:bookmarkStart w:id="537" w:name="_Toc20148454"/>
      <w:r w:rsidRPr="00487553">
        <w:rPr>
          <w:rFonts w:asciiTheme="minorEastAsia" w:eastAsiaTheme="minorEastAsia" w:hAnsiTheme="minorEastAsia"/>
        </w:rPr>
        <w:t>与基金运作相关的费用</w:t>
      </w:r>
      <w:bookmarkEnd w:id="537"/>
    </w:p>
    <w:p w14:paraId="0DCB776F" w14:textId="77777777" w:rsidR="00A37997" w:rsidRPr="00487553" w:rsidRDefault="00A37997" w:rsidP="00D94E68">
      <w:pPr>
        <w:snapToGrid w:val="0"/>
        <w:spacing w:line="360" w:lineRule="auto"/>
        <w:ind w:firstLine="420"/>
        <w:rPr>
          <w:rFonts w:asciiTheme="minorEastAsia" w:eastAsiaTheme="minorEastAsia" w:hAnsiTheme="minorEastAsia"/>
        </w:rPr>
      </w:pPr>
      <w:bookmarkStart w:id="538" w:name="_Toc296440167"/>
      <w:bookmarkStart w:id="539" w:name="_Toc296527007"/>
      <w:bookmarkStart w:id="540" w:name="_Toc306614232"/>
      <w:bookmarkStart w:id="541" w:name="_Toc308697524"/>
      <w:bookmarkStart w:id="542" w:name="_Toc309286046"/>
      <w:r w:rsidRPr="00487553">
        <w:rPr>
          <w:rFonts w:asciiTheme="minorEastAsia" w:eastAsiaTheme="minorEastAsia" w:hAnsiTheme="minorEastAsia"/>
        </w:rPr>
        <w:t>（一）基金费用的种类</w:t>
      </w:r>
      <w:bookmarkEnd w:id="538"/>
      <w:bookmarkEnd w:id="539"/>
      <w:bookmarkEnd w:id="540"/>
      <w:bookmarkEnd w:id="541"/>
      <w:bookmarkEnd w:id="542"/>
    </w:p>
    <w:p w14:paraId="51B18676" w14:textId="77777777" w:rsidR="00377F12" w:rsidRPr="00487553" w:rsidRDefault="00377F12" w:rsidP="00D94E68">
      <w:pPr>
        <w:snapToGrid w:val="0"/>
        <w:spacing w:line="360" w:lineRule="auto"/>
        <w:ind w:firstLine="420"/>
        <w:rPr>
          <w:rFonts w:asciiTheme="minorEastAsia" w:eastAsiaTheme="minorEastAsia" w:hAnsiTheme="minorEastAsia"/>
        </w:rPr>
      </w:pPr>
      <w:bookmarkStart w:id="543" w:name="_Toc308697525"/>
      <w:bookmarkStart w:id="544" w:name="_Toc309286047"/>
      <w:r w:rsidRPr="00487553">
        <w:rPr>
          <w:rFonts w:asciiTheme="minorEastAsia" w:eastAsiaTheme="minorEastAsia" w:hAnsiTheme="minorEastAsia" w:hint="eastAsia"/>
        </w:rPr>
        <w:t>1、基金管理人的管理费；</w:t>
      </w:r>
      <w:bookmarkEnd w:id="543"/>
      <w:bookmarkEnd w:id="544"/>
    </w:p>
    <w:p w14:paraId="22802BFE" w14:textId="77777777" w:rsidR="00377F12" w:rsidRPr="00487553" w:rsidRDefault="00377F12" w:rsidP="00D94E68">
      <w:pPr>
        <w:snapToGrid w:val="0"/>
        <w:spacing w:line="360" w:lineRule="auto"/>
        <w:ind w:firstLine="420"/>
        <w:rPr>
          <w:rFonts w:asciiTheme="minorEastAsia" w:eastAsiaTheme="minorEastAsia" w:hAnsiTheme="minorEastAsia"/>
        </w:rPr>
      </w:pPr>
      <w:bookmarkStart w:id="545" w:name="_Toc308697526"/>
      <w:bookmarkStart w:id="546" w:name="_Toc309286048"/>
      <w:r w:rsidRPr="00487553">
        <w:rPr>
          <w:rFonts w:asciiTheme="minorEastAsia" w:eastAsiaTheme="minorEastAsia" w:hAnsiTheme="minorEastAsia" w:hint="eastAsia"/>
        </w:rPr>
        <w:t>2、基金托管人的托管费；</w:t>
      </w:r>
      <w:bookmarkEnd w:id="545"/>
      <w:bookmarkEnd w:id="546"/>
    </w:p>
    <w:p w14:paraId="2A2481EC" w14:textId="77777777" w:rsidR="00070699" w:rsidRPr="00487553" w:rsidRDefault="00070699"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3</w:t>
      </w:r>
      <w:r w:rsidRPr="00487553">
        <w:rPr>
          <w:rFonts w:asciiTheme="minorEastAsia" w:eastAsiaTheme="minorEastAsia" w:hAnsiTheme="minorEastAsia" w:hint="eastAsia"/>
        </w:rPr>
        <w:t>、销售服务费；</w:t>
      </w:r>
    </w:p>
    <w:p w14:paraId="5598FB9F"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47" w:name="_Toc308697527"/>
      <w:bookmarkStart w:id="548" w:name="_Toc309286049"/>
      <w:r w:rsidRPr="00487553">
        <w:rPr>
          <w:rFonts w:asciiTheme="minorEastAsia" w:eastAsiaTheme="minorEastAsia" w:hAnsiTheme="minorEastAsia"/>
        </w:rPr>
        <w:t>4</w:t>
      </w:r>
      <w:r w:rsidR="00377F12" w:rsidRPr="00487553">
        <w:rPr>
          <w:rFonts w:asciiTheme="minorEastAsia" w:eastAsiaTheme="minorEastAsia" w:hAnsiTheme="minorEastAsia" w:hint="eastAsia"/>
        </w:rPr>
        <w:t>、基金合同生效以后的信息披露费用；</w:t>
      </w:r>
      <w:bookmarkEnd w:id="547"/>
      <w:bookmarkEnd w:id="548"/>
    </w:p>
    <w:p w14:paraId="68F9E823"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49" w:name="_Toc308697528"/>
      <w:bookmarkStart w:id="550" w:name="_Toc309286050"/>
      <w:r w:rsidRPr="00487553">
        <w:rPr>
          <w:rFonts w:asciiTheme="minorEastAsia" w:eastAsiaTheme="minorEastAsia" w:hAnsiTheme="minorEastAsia"/>
        </w:rPr>
        <w:t>5</w:t>
      </w:r>
      <w:r w:rsidR="00377F12" w:rsidRPr="00487553">
        <w:rPr>
          <w:rFonts w:asciiTheme="minorEastAsia" w:eastAsiaTheme="minorEastAsia" w:hAnsiTheme="minorEastAsia" w:hint="eastAsia"/>
        </w:rPr>
        <w:t>、基金份额持有人大会费用；</w:t>
      </w:r>
      <w:bookmarkEnd w:id="549"/>
      <w:bookmarkEnd w:id="550"/>
    </w:p>
    <w:p w14:paraId="564B7DB3"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51" w:name="_Toc308697529"/>
      <w:bookmarkStart w:id="552" w:name="_Toc309286051"/>
      <w:r w:rsidRPr="00487553">
        <w:rPr>
          <w:rFonts w:asciiTheme="minorEastAsia" w:eastAsiaTheme="minorEastAsia" w:hAnsiTheme="minorEastAsia"/>
        </w:rPr>
        <w:t>6</w:t>
      </w:r>
      <w:r w:rsidR="00377F12" w:rsidRPr="00487553">
        <w:rPr>
          <w:rFonts w:asciiTheme="minorEastAsia" w:eastAsiaTheme="minorEastAsia" w:hAnsiTheme="minorEastAsia" w:hint="eastAsia"/>
        </w:rPr>
        <w:t>、基金合同生效以后的会计师费和律师费；</w:t>
      </w:r>
      <w:bookmarkEnd w:id="551"/>
      <w:bookmarkEnd w:id="552"/>
    </w:p>
    <w:p w14:paraId="292226F4"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53" w:name="_Toc308697530"/>
      <w:bookmarkStart w:id="554" w:name="_Toc309286052"/>
      <w:r w:rsidRPr="00487553">
        <w:rPr>
          <w:rFonts w:asciiTheme="minorEastAsia" w:eastAsiaTheme="minorEastAsia" w:hAnsiTheme="minorEastAsia"/>
        </w:rPr>
        <w:t>7</w:t>
      </w:r>
      <w:r w:rsidR="00377F12" w:rsidRPr="00487553">
        <w:rPr>
          <w:rFonts w:asciiTheme="minorEastAsia" w:eastAsiaTheme="minorEastAsia" w:hAnsiTheme="minorEastAsia" w:hint="eastAsia"/>
        </w:rPr>
        <w:t>、基金的证券交易或结算所产生的费用，以及在境外市场的开户、交易、结算、登记、存管等各项费用；</w:t>
      </w:r>
      <w:bookmarkEnd w:id="553"/>
      <w:bookmarkEnd w:id="554"/>
    </w:p>
    <w:p w14:paraId="1E3D19D6"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55" w:name="_Toc308697531"/>
      <w:bookmarkStart w:id="556" w:name="_Toc309286053"/>
      <w:r w:rsidRPr="00487553">
        <w:rPr>
          <w:rFonts w:asciiTheme="minorEastAsia" w:eastAsiaTheme="minorEastAsia" w:hAnsiTheme="minorEastAsia"/>
        </w:rPr>
        <w:t>8</w:t>
      </w:r>
      <w:r w:rsidR="00377F12" w:rsidRPr="00487553">
        <w:rPr>
          <w:rFonts w:asciiTheme="minorEastAsia" w:eastAsiaTheme="minorEastAsia" w:hAnsiTheme="minorEastAsia" w:hint="eastAsia"/>
        </w:rPr>
        <w:t>、</w:t>
      </w:r>
      <w:r w:rsidR="000278CD" w:rsidRPr="00487553">
        <w:rPr>
          <w:rFonts w:asciiTheme="minorEastAsia" w:eastAsiaTheme="minorEastAsia" w:hAnsiTheme="minorEastAsia" w:hint="eastAsia"/>
          <w:szCs w:val="21"/>
        </w:rPr>
        <w:t>投资运作及汇兑外币申购、赎回资金时发生的</w:t>
      </w:r>
      <w:r w:rsidR="00377F12" w:rsidRPr="00487553">
        <w:rPr>
          <w:rFonts w:asciiTheme="minorEastAsia" w:eastAsiaTheme="minorEastAsia" w:hAnsiTheme="minorEastAsia" w:hint="eastAsia"/>
        </w:rPr>
        <w:t>外汇兑换交易的相关费用；</w:t>
      </w:r>
      <w:bookmarkEnd w:id="555"/>
      <w:bookmarkEnd w:id="556"/>
    </w:p>
    <w:p w14:paraId="2914ED40" w14:textId="4B9AE98E" w:rsidR="00377F12" w:rsidRPr="00487553" w:rsidRDefault="00070699" w:rsidP="00D94E68">
      <w:pPr>
        <w:snapToGrid w:val="0"/>
        <w:spacing w:line="360" w:lineRule="auto"/>
        <w:ind w:firstLine="420"/>
        <w:rPr>
          <w:rFonts w:asciiTheme="minorEastAsia" w:eastAsiaTheme="minorEastAsia" w:hAnsiTheme="minorEastAsia"/>
        </w:rPr>
      </w:pPr>
      <w:bookmarkStart w:id="557" w:name="_Toc308697532"/>
      <w:bookmarkStart w:id="558" w:name="_Toc309286054"/>
      <w:r w:rsidRPr="00487553">
        <w:rPr>
          <w:rFonts w:asciiTheme="minorEastAsia" w:eastAsiaTheme="minorEastAsia" w:hAnsiTheme="minorEastAsia"/>
        </w:rPr>
        <w:t>9</w:t>
      </w:r>
      <w:r w:rsidR="00377F12" w:rsidRPr="00487553">
        <w:rPr>
          <w:rFonts w:asciiTheme="minorEastAsia" w:eastAsiaTheme="minorEastAsia" w:hAnsiTheme="minorEastAsia" w:hint="eastAsia"/>
        </w:rPr>
        <w:t>、基金的资金汇划费用；</w:t>
      </w:r>
      <w:bookmarkEnd w:id="557"/>
      <w:bookmarkEnd w:id="558"/>
    </w:p>
    <w:p w14:paraId="22DE872B"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59" w:name="_Toc308697533"/>
      <w:bookmarkStart w:id="560" w:name="_Toc309286055"/>
      <w:r w:rsidRPr="00487553">
        <w:rPr>
          <w:rFonts w:asciiTheme="minorEastAsia" w:eastAsiaTheme="minorEastAsia" w:hAnsiTheme="minorEastAsia"/>
        </w:rPr>
        <w:t>10</w:t>
      </w:r>
      <w:r w:rsidR="00377F12" w:rsidRPr="00487553">
        <w:rPr>
          <w:rFonts w:asciiTheme="minorEastAsia" w:eastAsiaTheme="minorEastAsia" w:hAnsiTheme="minorEastAsia" w:hint="eastAsia"/>
        </w:rPr>
        <w:t>、基金的指数使用费；</w:t>
      </w:r>
      <w:bookmarkEnd w:id="559"/>
      <w:bookmarkEnd w:id="560"/>
    </w:p>
    <w:p w14:paraId="4DF44B12"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61" w:name="_Toc308697534"/>
      <w:bookmarkStart w:id="562" w:name="_Toc309286056"/>
      <w:r w:rsidRPr="00487553">
        <w:rPr>
          <w:rFonts w:asciiTheme="minorEastAsia" w:eastAsiaTheme="minorEastAsia" w:hAnsiTheme="minorEastAsia" w:hint="eastAsia"/>
        </w:rPr>
        <w:t>1</w:t>
      </w:r>
      <w:r w:rsidRPr="00487553">
        <w:rPr>
          <w:rFonts w:asciiTheme="minorEastAsia" w:eastAsiaTheme="minorEastAsia" w:hAnsiTheme="minorEastAsia"/>
        </w:rPr>
        <w:t>1</w:t>
      </w:r>
      <w:r w:rsidR="00377F12" w:rsidRPr="00487553">
        <w:rPr>
          <w:rFonts w:asciiTheme="minorEastAsia" w:eastAsiaTheme="minorEastAsia" w:hAnsiTheme="minorEastAsia" w:hint="eastAsia"/>
        </w:rPr>
        <w:t>、为了基金利益与基金有关的诉讼、追索费用，基金管理人与基金托管人因自身原因而导致的除外；</w:t>
      </w:r>
      <w:bookmarkEnd w:id="561"/>
      <w:bookmarkEnd w:id="562"/>
    </w:p>
    <w:p w14:paraId="2FF0D233"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63" w:name="_Toc308697535"/>
      <w:bookmarkStart w:id="564" w:name="_Toc309286057"/>
      <w:r w:rsidRPr="00487553">
        <w:rPr>
          <w:rFonts w:asciiTheme="minorEastAsia" w:eastAsiaTheme="minorEastAsia" w:hAnsiTheme="minorEastAsia" w:hint="eastAsia"/>
        </w:rPr>
        <w:t>1</w:t>
      </w:r>
      <w:r w:rsidRPr="00487553">
        <w:rPr>
          <w:rFonts w:asciiTheme="minorEastAsia" w:eastAsiaTheme="minorEastAsia" w:hAnsiTheme="minorEastAsia"/>
        </w:rPr>
        <w:t>2</w:t>
      </w:r>
      <w:r w:rsidR="00377F12" w:rsidRPr="00487553">
        <w:rPr>
          <w:rFonts w:asciiTheme="minorEastAsia" w:eastAsiaTheme="minorEastAsia" w:hAnsiTheme="minorEastAsia" w:hint="eastAsia"/>
        </w:rPr>
        <w:t>、基金依照有关法律法规应当缴纳或预提的任何税收、征费及相关的利息、费用和罚金；</w:t>
      </w:r>
      <w:bookmarkEnd w:id="563"/>
      <w:bookmarkEnd w:id="564"/>
    </w:p>
    <w:p w14:paraId="44BCAE24" w14:textId="77777777" w:rsidR="00377F12" w:rsidRPr="00487553" w:rsidRDefault="00070699" w:rsidP="00D94E68">
      <w:pPr>
        <w:snapToGrid w:val="0"/>
        <w:spacing w:line="360" w:lineRule="auto"/>
        <w:ind w:firstLine="420"/>
        <w:rPr>
          <w:rFonts w:asciiTheme="minorEastAsia" w:eastAsiaTheme="minorEastAsia" w:hAnsiTheme="minorEastAsia"/>
        </w:rPr>
      </w:pPr>
      <w:bookmarkStart w:id="565" w:name="_Toc308697536"/>
      <w:bookmarkStart w:id="566" w:name="_Toc309286058"/>
      <w:r w:rsidRPr="00487553">
        <w:rPr>
          <w:rFonts w:asciiTheme="minorEastAsia" w:eastAsiaTheme="minorEastAsia" w:hAnsiTheme="minorEastAsia" w:hint="eastAsia"/>
        </w:rPr>
        <w:t>1</w:t>
      </w:r>
      <w:r w:rsidRPr="00487553">
        <w:rPr>
          <w:rFonts w:asciiTheme="minorEastAsia" w:eastAsiaTheme="minorEastAsia" w:hAnsiTheme="minorEastAsia"/>
        </w:rPr>
        <w:t>3</w:t>
      </w:r>
      <w:r w:rsidR="00377F12" w:rsidRPr="00487553">
        <w:rPr>
          <w:rFonts w:asciiTheme="minorEastAsia" w:eastAsiaTheme="minorEastAsia" w:hAnsiTheme="minorEastAsia" w:hint="eastAsia"/>
        </w:rPr>
        <w:t>、按照国家有关规定、基金合同约定或行业惯例可以列入的其他费用。</w:t>
      </w:r>
      <w:bookmarkEnd w:id="565"/>
      <w:bookmarkEnd w:id="566"/>
    </w:p>
    <w:p w14:paraId="15717D16" w14:textId="77777777" w:rsidR="00DA53B8" w:rsidRPr="00487553" w:rsidRDefault="00377F12"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本基金终止清算时所发生费用，按实际支出额从基金财产总值中扣除。</w:t>
      </w:r>
    </w:p>
    <w:p w14:paraId="3DD87EF2" w14:textId="77777777" w:rsidR="00A37997" w:rsidRPr="00487553" w:rsidRDefault="00A37997" w:rsidP="00D94E68">
      <w:pPr>
        <w:snapToGrid w:val="0"/>
        <w:spacing w:line="360" w:lineRule="auto"/>
        <w:ind w:firstLine="420"/>
        <w:rPr>
          <w:rFonts w:asciiTheme="minorEastAsia" w:eastAsiaTheme="minorEastAsia" w:hAnsiTheme="minorEastAsia"/>
        </w:rPr>
      </w:pPr>
      <w:bookmarkStart w:id="567" w:name="_Toc296440168"/>
      <w:bookmarkStart w:id="568" w:name="_Toc296527008"/>
      <w:bookmarkStart w:id="569" w:name="_Toc306614233"/>
      <w:bookmarkStart w:id="570" w:name="_Toc308697537"/>
      <w:bookmarkStart w:id="571" w:name="_Toc309286059"/>
      <w:r w:rsidRPr="00487553">
        <w:rPr>
          <w:rFonts w:asciiTheme="minorEastAsia" w:eastAsiaTheme="minorEastAsia" w:hAnsiTheme="minorEastAsia"/>
        </w:rPr>
        <w:t>（二）基金费用计提方法、计提标准和支付方式</w:t>
      </w:r>
      <w:bookmarkEnd w:id="567"/>
      <w:bookmarkEnd w:id="568"/>
      <w:bookmarkEnd w:id="569"/>
      <w:bookmarkEnd w:id="570"/>
      <w:bookmarkEnd w:id="571"/>
    </w:p>
    <w:p w14:paraId="358AEE78" w14:textId="77777777" w:rsidR="007208EB" w:rsidRPr="00487553" w:rsidRDefault="007208E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1</w:t>
      </w:r>
      <w:r w:rsidRPr="00487553">
        <w:rPr>
          <w:rFonts w:asciiTheme="minorEastAsia" w:eastAsiaTheme="minorEastAsia" w:hAnsiTheme="minorEastAsia" w:hint="eastAsia"/>
        </w:rPr>
        <w:t>、基金管理人的管理费</w:t>
      </w:r>
    </w:p>
    <w:p w14:paraId="2DEB424B" w14:textId="77777777" w:rsidR="007208EB" w:rsidRPr="00487553" w:rsidRDefault="009E72CF"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基金管理人的基金管理费（如基金管理人委托境外投资顾问，包括境外投资顾问费）按前一日基金资产净值的</w:t>
      </w:r>
      <w:r w:rsidR="00CB6958" w:rsidRPr="00487553">
        <w:rPr>
          <w:rFonts w:asciiTheme="minorEastAsia" w:eastAsiaTheme="minorEastAsia" w:hAnsiTheme="minorEastAsia" w:hint="eastAsia"/>
        </w:rPr>
        <w:t>0.6%</w:t>
      </w:r>
      <w:r w:rsidRPr="00487553">
        <w:rPr>
          <w:rFonts w:asciiTheme="minorEastAsia" w:eastAsiaTheme="minorEastAsia" w:hAnsiTheme="minorEastAsia" w:hint="eastAsia"/>
        </w:rPr>
        <w:t>年费率计提。</w:t>
      </w:r>
    </w:p>
    <w:p w14:paraId="355B02C6" w14:textId="77777777" w:rsidR="0083786C" w:rsidRPr="00487553" w:rsidRDefault="0083786C"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计算方法如下：</w:t>
      </w:r>
    </w:p>
    <w:p w14:paraId="7F86435D" w14:textId="10FEBF63" w:rsidR="0083786C" w:rsidRPr="00487553" w:rsidRDefault="0083786C"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H</w:t>
      </w:r>
      <w:r w:rsidRPr="00487553">
        <w:rPr>
          <w:rFonts w:asciiTheme="minorEastAsia" w:eastAsiaTheme="minorEastAsia" w:hAnsiTheme="minorEastAsia" w:hint="eastAsia"/>
        </w:rPr>
        <w:t>＝</w:t>
      </w:r>
      <w:r w:rsidRPr="00487553">
        <w:rPr>
          <w:rFonts w:asciiTheme="minorEastAsia" w:eastAsiaTheme="minorEastAsia" w:hAnsiTheme="minorEastAsia"/>
        </w:rPr>
        <w:t>E</w:t>
      </w:r>
      <w:r w:rsidRPr="00487553">
        <w:rPr>
          <w:rFonts w:asciiTheme="minorEastAsia" w:eastAsiaTheme="minorEastAsia" w:hAnsiTheme="minorEastAsia" w:hint="eastAsia"/>
        </w:rPr>
        <w:t>×</w:t>
      </w:r>
      <w:r w:rsidR="00CB6958" w:rsidRPr="00487553">
        <w:rPr>
          <w:rFonts w:asciiTheme="minorEastAsia" w:eastAsiaTheme="minorEastAsia" w:hAnsiTheme="minorEastAsia" w:hint="eastAsia"/>
        </w:rPr>
        <w:t>0.6%</w:t>
      </w:r>
      <w:r w:rsidRPr="00487553">
        <w:rPr>
          <w:rFonts w:asciiTheme="minorEastAsia" w:eastAsiaTheme="minorEastAsia" w:hAnsiTheme="minorEastAsia" w:hint="eastAsia"/>
        </w:rPr>
        <w:t>÷当年天数</w:t>
      </w:r>
    </w:p>
    <w:p w14:paraId="5CD33407" w14:textId="1800E16E" w:rsidR="0083786C" w:rsidRPr="00487553" w:rsidRDefault="0083786C"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H</w:t>
      </w:r>
      <w:r w:rsidRPr="00487553">
        <w:rPr>
          <w:rFonts w:asciiTheme="minorEastAsia" w:eastAsiaTheme="minorEastAsia" w:hAnsiTheme="minorEastAsia" w:hint="eastAsia"/>
        </w:rPr>
        <w:t>为每日应计提的基金管理费</w:t>
      </w:r>
      <w:r w:rsidR="00F41AE0" w:rsidRPr="00487553">
        <w:rPr>
          <w:rFonts w:asciiTheme="minorEastAsia" w:eastAsiaTheme="minorEastAsia" w:hAnsiTheme="minorEastAsia" w:hint="eastAsia"/>
          <w:kern w:val="0"/>
          <w:szCs w:val="21"/>
        </w:rPr>
        <w:t>，货币单位为人民币</w:t>
      </w:r>
    </w:p>
    <w:p w14:paraId="2D7FEA74" w14:textId="74D4EFBB" w:rsidR="007208EB" w:rsidRPr="00487553" w:rsidRDefault="007208E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E</w:t>
      </w:r>
      <w:r w:rsidR="000E5F43" w:rsidRPr="00487553">
        <w:rPr>
          <w:rFonts w:asciiTheme="minorEastAsia" w:eastAsiaTheme="minorEastAsia" w:hAnsiTheme="minorEastAsia" w:hint="eastAsia"/>
        </w:rPr>
        <w:t>为调整后的前一日基金资产净值</w:t>
      </w:r>
      <w:r w:rsidR="00F41AE0" w:rsidRPr="00487553">
        <w:rPr>
          <w:rFonts w:asciiTheme="minorEastAsia" w:eastAsiaTheme="minorEastAsia" w:hAnsiTheme="minorEastAsia" w:hint="eastAsia"/>
          <w:kern w:val="0"/>
          <w:szCs w:val="21"/>
        </w:rPr>
        <w:t>，货币单位为人民币</w:t>
      </w:r>
      <w:r w:rsidR="000E5F43" w:rsidRPr="00487553">
        <w:rPr>
          <w:rFonts w:asciiTheme="minorEastAsia" w:eastAsiaTheme="minorEastAsia" w:hAnsiTheme="minorEastAsia" w:hint="eastAsia"/>
        </w:rPr>
        <w:t>。调整后的前一日基金资产净值＝前一日基金资产净值－前一日本基金持有的目标ETF公允价值，金额为负时以零计。</w:t>
      </w:r>
    </w:p>
    <w:p w14:paraId="1F522BED" w14:textId="77777777" w:rsidR="007208EB" w:rsidRPr="00487553" w:rsidRDefault="00132927"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基金管理费每日计算，逐日累计至每月月末，按月支付。经基金管理人和基金托管人核对一致后，基金托管人于次月首日起3个工作日内从基金财产中一次性支付给基金管理人。若遇法定节假日、公休日等</w:t>
      </w:r>
      <w:r w:rsidR="00462CF1" w:rsidRPr="00487553">
        <w:rPr>
          <w:rFonts w:asciiTheme="minorEastAsia" w:eastAsiaTheme="minorEastAsia" w:hAnsiTheme="minorEastAsia" w:hint="eastAsia"/>
        </w:rPr>
        <w:t>，</w:t>
      </w:r>
      <w:r w:rsidRPr="00487553">
        <w:rPr>
          <w:rFonts w:asciiTheme="minorEastAsia" w:eastAsiaTheme="minorEastAsia" w:hAnsiTheme="minorEastAsia" w:hint="eastAsia"/>
        </w:rPr>
        <w:t>支付日期顺延。</w:t>
      </w:r>
    </w:p>
    <w:p w14:paraId="2E6BD706" w14:textId="77777777" w:rsidR="007208EB" w:rsidRPr="00487553" w:rsidRDefault="007208E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2</w:t>
      </w:r>
      <w:r w:rsidRPr="00487553">
        <w:rPr>
          <w:rFonts w:asciiTheme="minorEastAsia" w:eastAsiaTheme="minorEastAsia" w:hAnsiTheme="minorEastAsia" w:hint="eastAsia"/>
        </w:rPr>
        <w:t>、基金托管人的托管费</w:t>
      </w:r>
    </w:p>
    <w:p w14:paraId="7A24D64C" w14:textId="77777777" w:rsidR="007208EB" w:rsidRPr="00487553" w:rsidRDefault="005047ED"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lastRenderedPageBreak/>
        <w:t>基金托管人的基金托管费（如基金托管人委托境外托管人，包括向其支付的相应服务费）按前一日基金资产净值的</w:t>
      </w:r>
      <w:r w:rsidR="009A6F2C" w:rsidRPr="00487553">
        <w:rPr>
          <w:rFonts w:asciiTheme="minorEastAsia" w:eastAsiaTheme="minorEastAsia" w:hAnsiTheme="minorEastAsia" w:hint="eastAsia"/>
        </w:rPr>
        <w:t>0.2%</w:t>
      </w:r>
      <w:r w:rsidRPr="00487553">
        <w:rPr>
          <w:rFonts w:asciiTheme="minorEastAsia" w:eastAsiaTheme="minorEastAsia" w:hAnsiTheme="minorEastAsia" w:hint="eastAsia"/>
        </w:rPr>
        <w:t>年费率计提。</w:t>
      </w:r>
    </w:p>
    <w:p w14:paraId="723E08A2" w14:textId="27FDD0AC" w:rsidR="0083786C" w:rsidRPr="00487553" w:rsidRDefault="0083786C"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计算方法如下：</w:t>
      </w:r>
    </w:p>
    <w:p w14:paraId="50DE25C3" w14:textId="2880E274" w:rsidR="0083786C" w:rsidRPr="00487553" w:rsidRDefault="0083786C"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H</w:t>
      </w:r>
      <w:r w:rsidRPr="00487553">
        <w:rPr>
          <w:rFonts w:asciiTheme="minorEastAsia" w:eastAsiaTheme="minorEastAsia" w:hAnsiTheme="minorEastAsia" w:hint="eastAsia"/>
        </w:rPr>
        <w:t>＝</w:t>
      </w:r>
      <w:r w:rsidRPr="00487553">
        <w:rPr>
          <w:rFonts w:asciiTheme="minorEastAsia" w:eastAsiaTheme="minorEastAsia" w:hAnsiTheme="minorEastAsia"/>
        </w:rPr>
        <w:t>E×</w:t>
      </w:r>
      <w:r w:rsidR="009A6F2C" w:rsidRPr="00487553">
        <w:rPr>
          <w:rFonts w:asciiTheme="minorEastAsia" w:eastAsiaTheme="minorEastAsia" w:hAnsiTheme="minorEastAsia" w:hint="eastAsia"/>
        </w:rPr>
        <w:t>0.2%</w:t>
      </w:r>
      <w:r w:rsidRPr="00487553">
        <w:rPr>
          <w:rFonts w:asciiTheme="minorEastAsia" w:eastAsiaTheme="minorEastAsia" w:hAnsiTheme="minorEastAsia"/>
        </w:rPr>
        <w:t>÷</w:t>
      </w:r>
      <w:r w:rsidRPr="00487553">
        <w:rPr>
          <w:rFonts w:asciiTheme="minorEastAsia" w:eastAsiaTheme="minorEastAsia" w:hAnsiTheme="minorEastAsia" w:hint="eastAsia"/>
        </w:rPr>
        <w:t>当年天数</w:t>
      </w:r>
    </w:p>
    <w:p w14:paraId="755B8DDE" w14:textId="737C3E26" w:rsidR="0083786C" w:rsidRPr="00487553" w:rsidRDefault="0083786C"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rPr>
        <w:t>H</w:t>
      </w:r>
      <w:r w:rsidRPr="00487553">
        <w:rPr>
          <w:rFonts w:asciiTheme="minorEastAsia" w:eastAsiaTheme="minorEastAsia" w:hAnsiTheme="minorEastAsia" w:hint="eastAsia"/>
        </w:rPr>
        <w:t>为每日应计提的基金托管费</w:t>
      </w:r>
      <w:r w:rsidR="00F41AE0" w:rsidRPr="00487553">
        <w:rPr>
          <w:rFonts w:asciiTheme="minorEastAsia" w:eastAsiaTheme="minorEastAsia" w:hAnsiTheme="minorEastAsia" w:hint="eastAsia"/>
          <w:szCs w:val="21"/>
        </w:rPr>
        <w:t>，</w:t>
      </w:r>
      <w:r w:rsidR="00F41AE0" w:rsidRPr="00487553">
        <w:rPr>
          <w:rFonts w:asciiTheme="minorEastAsia" w:eastAsiaTheme="minorEastAsia" w:hAnsiTheme="minorEastAsia" w:hint="eastAsia"/>
          <w:kern w:val="0"/>
          <w:szCs w:val="21"/>
        </w:rPr>
        <w:t>货币单位为人民币</w:t>
      </w:r>
    </w:p>
    <w:p w14:paraId="545E6A4B" w14:textId="5FBBD4B7" w:rsidR="007208EB" w:rsidRPr="00487553" w:rsidRDefault="007208E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E</w:t>
      </w:r>
      <w:r w:rsidR="005047ED" w:rsidRPr="00487553">
        <w:rPr>
          <w:rFonts w:asciiTheme="minorEastAsia" w:eastAsiaTheme="minorEastAsia" w:hAnsiTheme="minorEastAsia" w:hint="eastAsia"/>
        </w:rPr>
        <w:t>为调整后的前一日基金资产净值</w:t>
      </w:r>
      <w:r w:rsidR="00F41AE0" w:rsidRPr="00487553">
        <w:rPr>
          <w:rFonts w:asciiTheme="minorEastAsia" w:eastAsiaTheme="minorEastAsia" w:hAnsiTheme="minorEastAsia" w:hint="eastAsia"/>
          <w:kern w:val="0"/>
          <w:szCs w:val="21"/>
        </w:rPr>
        <w:t>，货币单位为人民币</w:t>
      </w:r>
      <w:r w:rsidR="005047ED" w:rsidRPr="00487553">
        <w:rPr>
          <w:rFonts w:asciiTheme="minorEastAsia" w:eastAsiaTheme="minorEastAsia" w:hAnsiTheme="minorEastAsia" w:hint="eastAsia"/>
        </w:rPr>
        <w:t>。调整后的前一日基金资产净值＝前一日基金资产净值－前一日本基金持有的目标ETF公允价值，金额为负时以零计。</w:t>
      </w:r>
    </w:p>
    <w:p w14:paraId="4520A7C5" w14:textId="77777777" w:rsidR="00940BF1" w:rsidRPr="00487553" w:rsidRDefault="005047ED"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基金托管费每日计算，逐日累计至每月月末，按月支付。经基金管理人和基金托管人核对一致后，基金托管人于次月首日起3个工作日内从基金财产中一次性支取。若遇法定节假日、公休日等,支付日期顺延。</w:t>
      </w:r>
    </w:p>
    <w:p w14:paraId="10D11952"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3、基金的指数使用费</w:t>
      </w:r>
    </w:p>
    <w:p w14:paraId="40C50FB8"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本基金作为指数基金，需要根据与标的指数许可方所签订的指数使用许可协议中所规定的指数许可使用费计提方法计提指数使用费。指数使用费自基金成立之日起累计，计算方法如下：</w:t>
      </w:r>
    </w:p>
    <w:p w14:paraId="62F8D0C5"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H＝E×0.04%÷当年天数</w:t>
      </w:r>
    </w:p>
    <w:p w14:paraId="7E6E07FA"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H为每日应计提的指数使用费</w:t>
      </w:r>
      <w:r w:rsidR="00F41AE0" w:rsidRPr="00487553">
        <w:rPr>
          <w:rFonts w:asciiTheme="minorEastAsia" w:eastAsiaTheme="minorEastAsia" w:hAnsiTheme="minorEastAsia" w:hint="eastAsia"/>
          <w:szCs w:val="21"/>
        </w:rPr>
        <w:t>，</w:t>
      </w:r>
      <w:r w:rsidR="00F41AE0" w:rsidRPr="00487553">
        <w:rPr>
          <w:rFonts w:asciiTheme="minorEastAsia" w:eastAsiaTheme="minorEastAsia" w:hAnsiTheme="minorEastAsia" w:hint="eastAsia"/>
          <w:kern w:val="0"/>
          <w:szCs w:val="21"/>
        </w:rPr>
        <w:t>货币单位为人民币</w:t>
      </w:r>
    </w:p>
    <w:p w14:paraId="5E351008"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E为调整后的前一日基金资产净值</w:t>
      </w:r>
      <w:r w:rsidR="00F41AE0" w:rsidRPr="00487553">
        <w:rPr>
          <w:rFonts w:asciiTheme="minorEastAsia" w:eastAsiaTheme="minorEastAsia" w:hAnsiTheme="minorEastAsia" w:hint="eastAsia"/>
          <w:szCs w:val="21"/>
        </w:rPr>
        <w:t>，</w:t>
      </w:r>
      <w:r w:rsidR="00F41AE0" w:rsidRPr="00487553">
        <w:rPr>
          <w:rFonts w:asciiTheme="minorEastAsia" w:eastAsiaTheme="minorEastAsia" w:hAnsiTheme="minorEastAsia" w:hint="eastAsia"/>
          <w:kern w:val="0"/>
          <w:szCs w:val="21"/>
        </w:rPr>
        <w:t>货币单位为人民币</w:t>
      </w:r>
      <w:r w:rsidRPr="00487553">
        <w:rPr>
          <w:rFonts w:asciiTheme="minorEastAsia" w:eastAsiaTheme="minorEastAsia" w:hAnsiTheme="minorEastAsia" w:hint="eastAsia"/>
        </w:rPr>
        <w:t>。调整后的前一日基金资产净值＝前一日基金资产净值－前一日本基金已投资于目标ETF部分的资产净值，金额为负时以零计。</w:t>
      </w:r>
    </w:p>
    <w:p w14:paraId="34B4F9D2" w14:textId="77777777" w:rsidR="00940BF1"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指数使用费每日计提，按季支付。经基金管理人和基金托管人核对一致后，基金托管人于次季度首日起15日内从基金财产中一次性支付给基金管理人，由基金管理人根据指数使用许可协议所规定的方式支付给标的指数许可方。</w:t>
      </w:r>
    </w:p>
    <w:p w14:paraId="1DE0AAE2" w14:textId="77777777" w:rsidR="007208EB" w:rsidRPr="00487553" w:rsidRDefault="00940BF1"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如果指数使用费的计算方法和费率等发生调整，本基金将采用调整后的方法或费率计算指数使用费。基金管理人应及时按照《信息披露管理办法》的规定在指定媒体进行公告。</w:t>
      </w:r>
    </w:p>
    <w:p w14:paraId="4F085F6A" w14:textId="77777777" w:rsidR="00070699" w:rsidRPr="00487553" w:rsidRDefault="00D034A0"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4、</w:t>
      </w:r>
      <w:r w:rsidR="00070699" w:rsidRPr="00487553">
        <w:rPr>
          <w:rFonts w:asciiTheme="minorEastAsia" w:eastAsiaTheme="minorEastAsia" w:hAnsiTheme="minorEastAsia"/>
        </w:rPr>
        <w:t>销售服务费</w:t>
      </w:r>
    </w:p>
    <w:p w14:paraId="0F415202" w14:textId="77777777" w:rsidR="00070699" w:rsidRPr="00487553" w:rsidRDefault="00070699"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本基金</w:t>
      </w:r>
      <w:r w:rsidRPr="00487553">
        <w:rPr>
          <w:rFonts w:asciiTheme="minorEastAsia" w:eastAsiaTheme="minorEastAsia" w:hAnsiTheme="minorEastAsia"/>
        </w:rPr>
        <w:t>A</w:t>
      </w:r>
      <w:r w:rsidRPr="00487553">
        <w:rPr>
          <w:rFonts w:asciiTheme="minorEastAsia" w:eastAsiaTheme="minorEastAsia" w:hAnsiTheme="minorEastAsia" w:hint="eastAsia"/>
        </w:rPr>
        <w:t>类基金份额不收取销售服务费，</w:t>
      </w:r>
      <w:r w:rsidRPr="00487553">
        <w:rPr>
          <w:rFonts w:asciiTheme="minorEastAsia" w:eastAsiaTheme="minorEastAsia" w:hAnsiTheme="minorEastAsia"/>
        </w:rPr>
        <w:t>C</w:t>
      </w:r>
      <w:r w:rsidRPr="00487553">
        <w:rPr>
          <w:rFonts w:asciiTheme="minorEastAsia" w:eastAsiaTheme="minorEastAsia" w:hAnsiTheme="minorEastAsia" w:hint="eastAsia"/>
        </w:rPr>
        <w:t>类基金份额的销售服务费年费率为</w:t>
      </w:r>
      <w:r w:rsidRPr="00487553">
        <w:rPr>
          <w:rFonts w:asciiTheme="minorEastAsia" w:eastAsiaTheme="minorEastAsia" w:hAnsiTheme="minorEastAsia"/>
        </w:rPr>
        <w:t>0.25%，按C</w:t>
      </w:r>
      <w:r w:rsidRPr="00487553">
        <w:rPr>
          <w:rFonts w:asciiTheme="minorEastAsia" w:eastAsiaTheme="minorEastAsia" w:hAnsiTheme="minorEastAsia" w:hint="eastAsia"/>
        </w:rPr>
        <w:t>类基金</w:t>
      </w:r>
      <w:r w:rsidRPr="00487553">
        <w:rPr>
          <w:rFonts w:asciiTheme="minorEastAsia" w:eastAsiaTheme="minorEastAsia" w:hAnsiTheme="minorEastAsia"/>
        </w:rPr>
        <w:t>份额</w:t>
      </w:r>
      <w:r w:rsidRPr="00487553">
        <w:rPr>
          <w:rFonts w:asciiTheme="minorEastAsia" w:eastAsiaTheme="minorEastAsia" w:hAnsiTheme="minorEastAsia" w:hint="eastAsia"/>
        </w:rPr>
        <w:t>前一日基金资产净值的</w:t>
      </w:r>
      <w:r w:rsidRPr="00487553">
        <w:rPr>
          <w:rFonts w:asciiTheme="minorEastAsia" w:eastAsiaTheme="minorEastAsia" w:hAnsiTheme="minorEastAsia"/>
        </w:rPr>
        <w:t>0.25%年费率计提。</w:t>
      </w:r>
    </w:p>
    <w:p w14:paraId="57F3CACD" w14:textId="77777777" w:rsidR="00070699" w:rsidRPr="00487553" w:rsidRDefault="00070699"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销售服务费的计算方法如下：</w:t>
      </w:r>
    </w:p>
    <w:p w14:paraId="3EB7FD87" w14:textId="77777777" w:rsidR="00070699" w:rsidRPr="00487553" w:rsidRDefault="00070699"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H＝E×0.25%÷当年天数</w:t>
      </w:r>
    </w:p>
    <w:p w14:paraId="338602D4" w14:textId="43DC6106" w:rsidR="00070699" w:rsidRPr="00487553" w:rsidRDefault="00070699"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H</w:t>
      </w:r>
      <w:r w:rsidRPr="00487553">
        <w:rPr>
          <w:rFonts w:asciiTheme="minorEastAsia" w:eastAsiaTheme="minorEastAsia" w:hAnsiTheme="minorEastAsia" w:hint="eastAsia"/>
        </w:rPr>
        <w:t>为</w:t>
      </w:r>
      <w:r w:rsidRPr="00487553">
        <w:rPr>
          <w:rFonts w:asciiTheme="minorEastAsia" w:eastAsiaTheme="minorEastAsia" w:hAnsiTheme="minorEastAsia"/>
        </w:rPr>
        <w:t>C</w:t>
      </w:r>
      <w:r w:rsidRPr="00487553">
        <w:rPr>
          <w:rFonts w:asciiTheme="minorEastAsia" w:eastAsiaTheme="minorEastAsia" w:hAnsiTheme="minorEastAsia" w:hint="eastAsia"/>
        </w:rPr>
        <w:t>类基金份额每日应计提的销售服务费</w:t>
      </w:r>
    </w:p>
    <w:p w14:paraId="3727503D" w14:textId="788304A9" w:rsidR="00070699" w:rsidRPr="00487553" w:rsidRDefault="00070699" w:rsidP="00B01706">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E</w:t>
      </w:r>
      <w:r w:rsidRPr="00487553">
        <w:rPr>
          <w:rFonts w:asciiTheme="minorEastAsia" w:eastAsiaTheme="minorEastAsia" w:hAnsiTheme="minorEastAsia" w:hint="eastAsia"/>
        </w:rPr>
        <w:t>为</w:t>
      </w:r>
      <w:r w:rsidRPr="00487553">
        <w:rPr>
          <w:rFonts w:asciiTheme="minorEastAsia" w:eastAsiaTheme="minorEastAsia" w:hAnsiTheme="minorEastAsia"/>
        </w:rPr>
        <w:t>C</w:t>
      </w:r>
      <w:r w:rsidRPr="00487553">
        <w:rPr>
          <w:rFonts w:asciiTheme="minorEastAsia" w:eastAsiaTheme="minorEastAsia" w:hAnsiTheme="minorEastAsia" w:hint="eastAsia"/>
        </w:rPr>
        <w:t>类基金份额前一日基金资产净值</w:t>
      </w:r>
    </w:p>
    <w:p w14:paraId="7A3E0A1A" w14:textId="77777777" w:rsidR="00070699" w:rsidRPr="00487553" w:rsidRDefault="00070699" w:rsidP="00070699">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t>销售服务费每日计算</w:t>
      </w:r>
      <w:r w:rsidRPr="00487553">
        <w:rPr>
          <w:rFonts w:asciiTheme="minorEastAsia" w:eastAsiaTheme="minorEastAsia" w:hAnsiTheme="minorEastAsia" w:hint="eastAsia"/>
        </w:rPr>
        <w:t>，逐日累计至每月月末，</w:t>
      </w:r>
      <w:r w:rsidRPr="00487553">
        <w:rPr>
          <w:rFonts w:asciiTheme="minorEastAsia" w:eastAsiaTheme="minorEastAsia" w:hAnsiTheme="minorEastAsia"/>
        </w:rPr>
        <w:t>按月支付</w:t>
      </w:r>
      <w:r w:rsidRPr="00487553">
        <w:rPr>
          <w:rFonts w:asciiTheme="minorEastAsia" w:eastAsiaTheme="minorEastAsia" w:hAnsiTheme="minorEastAsia" w:hint="eastAsia"/>
        </w:rPr>
        <w:t>，经基金管理人和基金托管人核对一致后，</w:t>
      </w:r>
      <w:r w:rsidRPr="00487553">
        <w:rPr>
          <w:rFonts w:asciiTheme="minorEastAsia" w:eastAsiaTheme="minorEastAsia" w:hAnsiTheme="minorEastAsia"/>
        </w:rPr>
        <w:t>基金托管人于次</w:t>
      </w:r>
      <w:r w:rsidRPr="00487553">
        <w:rPr>
          <w:rFonts w:asciiTheme="minorEastAsia" w:eastAsiaTheme="minorEastAsia" w:hAnsiTheme="minorEastAsia" w:hint="eastAsia"/>
        </w:rPr>
        <w:t>月首日起</w:t>
      </w:r>
      <w:r w:rsidRPr="00487553">
        <w:rPr>
          <w:rFonts w:asciiTheme="minorEastAsia" w:eastAsiaTheme="minorEastAsia" w:hAnsiTheme="minorEastAsia"/>
        </w:rPr>
        <w:t>3个工作日内从基金</w:t>
      </w:r>
      <w:r w:rsidRPr="00487553">
        <w:rPr>
          <w:rFonts w:asciiTheme="minorEastAsia" w:eastAsiaTheme="minorEastAsia" w:hAnsiTheme="minorEastAsia" w:hint="eastAsia"/>
        </w:rPr>
        <w:t>财产</w:t>
      </w:r>
      <w:r w:rsidRPr="00487553">
        <w:rPr>
          <w:rFonts w:asciiTheme="minorEastAsia" w:eastAsiaTheme="minorEastAsia" w:hAnsiTheme="minorEastAsia"/>
        </w:rPr>
        <w:t>中一次性支付</w:t>
      </w:r>
      <w:r w:rsidRPr="00487553">
        <w:rPr>
          <w:rFonts w:asciiTheme="minorEastAsia" w:eastAsiaTheme="minorEastAsia" w:hAnsiTheme="minorEastAsia" w:hint="eastAsia"/>
        </w:rPr>
        <w:t>。</w:t>
      </w:r>
      <w:r w:rsidRPr="00487553">
        <w:rPr>
          <w:rFonts w:asciiTheme="minorEastAsia" w:eastAsiaTheme="minorEastAsia" w:hAnsiTheme="minorEastAsia"/>
        </w:rPr>
        <w:t>若遇法定节假日、</w:t>
      </w:r>
      <w:r w:rsidRPr="00487553">
        <w:rPr>
          <w:rFonts w:asciiTheme="minorEastAsia" w:eastAsiaTheme="minorEastAsia" w:hAnsiTheme="minorEastAsia" w:hint="eastAsia"/>
        </w:rPr>
        <w:t>公休日</w:t>
      </w:r>
      <w:r w:rsidRPr="00487553">
        <w:rPr>
          <w:rFonts w:asciiTheme="minorEastAsia" w:eastAsiaTheme="minorEastAsia" w:hAnsiTheme="minorEastAsia"/>
        </w:rPr>
        <w:t>等,支付日期顺延。</w:t>
      </w:r>
    </w:p>
    <w:p w14:paraId="39166E66" w14:textId="77777777" w:rsidR="007208EB" w:rsidRPr="00487553" w:rsidRDefault="00221C22"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rPr>
        <w:lastRenderedPageBreak/>
        <w:t>5</w:t>
      </w:r>
      <w:r w:rsidR="007208EB" w:rsidRPr="00487553">
        <w:rPr>
          <w:rFonts w:asciiTheme="minorEastAsia" w:eastAsiaTheme="minorEastAsia" w:hAnsiTheme="minorEastAsia" w:hint="eastAsia"/>
        </w:rPr>
        <w:t>、本条第（一）款第</w:t>
      </w:r>
      <w:r w:rsidRPr="00487553">
        <w:rPr>
          <w:rFonts w:asciiTheme="minorEastAsia" w:eastAsiaTheme="minorEastAsia" w:hAnsiTheme="minorEastAsia"/>
        </w:rPr>
        <w:t>4</w:t>
      </w:r>
      <w:r w:rsidR="007208EB" w:rsidRPr="00487553">
        <w:rPr>
          <w:rFonts w:asciiTheme="minorEastAsia" w:eastAsiaTheme="minorEastAsia" w:hAnsiTheme="minorEastAsia" w:hint="eastAsia"/>
        </w:rPr>
        <w:t>至第</w:t>
      </w:r>
      <w:r w:rsidRPr="00487553">
        <w:rPr>
          <w:rFonts w:asciiTheme="minorEastAsia" w:eastAsiaTheme="minorEastAsia" w:hAnsiTheme="minorEastAsia" w:hint="eastAsia"/>
        </w:rPr>
        <w:t>1</w:t>
      </w:r>
      <w:r w:rsidRPr="00487553">
        <w:rPr>
          <w:rFonts w:asciiTheme="minorEastAsia" w:eastAsiaTheme="minorEastAsia" w:hAnsiTheme="minorEastAsia"/>
        </w:rPr>
        <w:t>3</w:t>
      </w:r>
      <w:r w:rsidR="007208EB" w:rsidRPr="00487553">
        <w:rPr>
          <w:rFonts w:asciiTheme="minorEastAsia" w:eastAsiaTheme="minorEastAsia" w:hAnsiTheme="minorEastAsia" w:hint="eastAsia"/>
        </w:rPr>
        <w:t>项费用由基金管理人和基金托管人根据有关法规及相应协议的规定，列入</w:t>
      </w:r>
      <w:r w:rsidR="00CC1038" w:rsidRPr="00487553">
        <w:rPr>
          <w:rFonts w:asciiTheme="minorEastAsia" w:eastAsiaTheme="minorEastAsia" w:hAnsiTheme="minorEastAsia" w:hint="eastAsia"/>
        </w:rPr>
        <w:t>或摊入</w:t>
      </w:r>
      <w:r w:rsidR="007208EB" w:rsidRPr="00487553">
        <w:rPr>
          <w:rFonts w:asciiTheme="minorEastAsia" w:eastAsiaTheme="minorEastAsia" w:hAnsiTheme="minorEastAsia" w:hint="eastAsia"/>
        </w:rPr>
        <w:t>当期基金费用。</w:t>
      </w:r>
    </w:p>
    <w:p w14:paraId="2C9608B6" w14:textId="77777777" w:rsidR="00A37997" w:rsidRPr="00487553" w:rsidRDefault="00A37997" w:rsidP="00D94E68">
      <w:pPr>
        <w:snapToGrid w:val="0"/>
        <w:spacing w:line="360" w:lineRule="auto"/>
        <w:ind w:firstLine="420"/>
        <w:rPr>
          <w:rFonts w:asciiTheme="minorEastAsia" w:eastAsiaTheme="minorEastAsia" w:hAnsiTheme="minorEastAsia"/>
        </w:rPr>
      </w:pPr>
      <w:bookmarkStart w:id="572" w:name="_Toc296440169"/>
      <w:bookmarkStart w:id="573" w:name="_Toc296527009"/>
      <w:bookmarkStart w:id="574" w:name="_Toc306614234"/>
      <w:bookmarkStart w:id="575" w:name="_Toc308697538"/>
      <w:bookmarkStart w:id="576" w:name="_Toc309286060"/>
      <w:r w:rsidRPr="00487553">
        <w:rPr>
          <w:rFonts w:asciiTheme="minorEastAsia" w:eastAsiaTheme="minorEastAsia" w:hAnsiTheme="minorEastAsia"/>
        </w:rPr>
        <w:t>（三）不列入基金费用的项目</w:t>
      </w:r>
      <w:bookmarkEnd w:id="572"/>
      <w:bookmarkEnd w:id="573"/>
      <w:bookmarkEnd w:id="574"/>
      <w:bookmarkEnd w:id="575"/>
      <w:bookmarkEnd w:id="576"/>
    </w:p>
    <w:p w14:paraId="12D8F6CD" w14:textId="77777777" w:rsidR="004D2CFF" w:rsidRPr="00487553" w:rsidRDefault="004D2CFF"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基金管理人和基金托管人因未履行或未完全履行义务导致的费用支出或基金财产的损失，以及处理与基金运作无关的事项发生的费用等不列入基金费用。基金合同生效之前的律师费、会计师费和信息披露费用等不得从基金财产中列支。</w:t>
      </w:r>
    </w:p>
    <w:p w14:paraId="2880D14B" w14:textId="77777777" w:rsidR="00A37997" w:rsidRPr="00487553" w:rsidRDefault="00A37997" w:rsidP="00D94E68">
      <w:pPr>
        <w:snapToGrid w:val="0"/>
        <w:spacing w:line="360" w:lineRule="auto"/>
        <w:ind w:firstLine="420"/>
        <w:rPr>
          <w:rFonts w:asciiTheme="minorEastAsia" w:eastAsiaTheme="minorEastAsia" w:hAnsiTheme="minorEastAsia"/>
        </w:rPr>
      </w:pPr>
      <w:bookmarkStart w:id="577" w:name="_Toc296440170"/>
      <w:bookmarkStart w:id="578" w:name="_Toc296527010"/>
      <w:bookmarkStart w:id="579" w:name="_Toc306614235"/>
      <w:bookmarkStart w:id="580" w:name="_Toc308697539"/>
      <w:bookmarkStart w:id="581" w:name="_Toc309286061"/>
      <w:r w:rsidRPr="00487553">
        <w:rPr>
          <w:rFonts w:asciiTheme="minorEastAsia" w:eastAsiaTheme="minorEastAsia" w:hAnsiTheme="minorEastAsia"/>
        </w:rPr>
        <w:t>（四）费用调整</w:t>
      </w:r>
      <w:bookmarkEnd w:id="577"/>
      <w:bookmarkEnd w:id="578"/>
      <w:bookmarkEnd w:id="579"/>
      <w:bookmarkEnd w:id="580"/>
      <w:bookmarkEnd w:id="581"/>
    </w:p>
    <w:p w14:paraId="70E9F446" w14:textId="77777777" w:rsidR="00367067" w:rsidRPr="00487553" w:rsidRDefault="0011281B"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在符合相关法律法规和履行了必备的程序的条件下，基金管理人和基金托管人可协商酌情调低基金管理费和基金托管费，无须召开基金份额持有人大会。调高基金管理费率和基金托管费率，须召开基金份额持有人大会审议，除非基金合同、相关法律法规或监管机构另有规定。基金管理人必须最迟于新的费率实施日前在至少一种中国证监会指定媒体上刊登公告。</w:t>
      </w:r>
    </w:p>
    <w:p w14:paraId="5A4D0CF3" w14:textId="77777777" w:rsidR="00367067" w:rsidRPr="00487553" w:rsidRDefault="00367067" w:rsidP="00D94E68">
      <w:pPr>
        <w:snapToGrid w:val="0"/>
        <w:spacing w:line="360" w:lineRule="auto"/>
        <w:ind w:firstLine="420"/>
        <w:rPr>
          <w:rFonts w:asciiTheme="minorEastAsia" w:eastAsiaTheme="minorEastAsia" w:hAnsiTheme="minorEastAsia"/>
        </w:rPr>
      </w:pPr>
      <w:bookmarkStart w:id="582" w:name="_Toc308697540"/>
      <w:bookmarkStart w:id="583" w:name="_Toc309286062"/>
      <w:r w:rsidRPr="00487553">
        <w:rPr>
          <w:rFonts w:asciiTheme="minorEastAsia" w:eastAsiaTheme="minorEastAsia" w:hAnsiTheme="minorEastAsia" w:hint="eastAsia"/>
        </w:rPr>
        <w:t>（五）其他费用</w:t>
      </w:r>
      <w:bookmarkEnd w:id="582"/>
      <w:bookmarkEnd w:id="583"/>
    </w:p>
    <w:p w14:paraId="58F6B94B" w14:textId="77777777" w:rsidR="006F6372" w:rsidRPr="00487553" w:rsidRDefault="00367067"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按照国家有关规定和基金合同约定，基金管理人可以在基金财产中列支其他的费用，并按照相关的法律法规的规定进行公告或备案。</w:t>
      </w:r>
    </w:p>
    <w:p w14:paraId="0C2F451F" w14:textId="77777777" w:rsidR="00A37997" w:rsidRPr="00487553" w:rsidRDefault="00A37997" w:rsidP="00D94E68">
      <w:pPr>
        <w:pStyle w:val="2"/>
        <w:numPr>
          <w:ilvl w:val="1"/>
          <w:numId w:val="23"/>
        </w:numPr>
        <w:snapToGrid w:val="0"/>
        <w:spacing w:beforeLines="0" w:afterLines="0" w:line="360" w:lineRule="auto"/>
        <w:ind w:firstLineChars="0"/>
        <w:rPr>
          <w:rFonts w:asciiTheme="minorEastAsia" w:eastAsiaTheme="minorEastAsia" w:hAnsiTheme="minorEastAsia"/>
        </w:rPr>
      </w:pPr>
      <w:bookmarkStart w:id="584" w:name="_Toc308697541"/>
      <w:bookmarkStart w:id="585" w:name="_Toc309286063"/>
      <w:bookmarkStart w:id="586" w:name="_Toc308697542"/>
      <w:bookmarkStart w:id="587" w:name="_Toc309286064"/>
      <w:bookmarkStart w:id="588" w:name="_Toc308697543"/>
      <w:bookmarkStart w:id="589" w:name="_Toc309286065"/>
      <w:bookmarkStart w:id="590" w:name="_Toc20148455"/>
      <w:bookmarkEnd w:id="584"/>
      <w:bookmarkEnd w:id="585"/>
      <w:bookmarkEnd w:id="586"/>
      <w:bookmarkEnd w:id="587"/>
      <w:bookmarkEnd w:id="588"/>
      <w:bookmarkEnd w:id="589"/>
      <w:r w:rsidRPr="00487553">
        <w:rPr>
          <w:rFonts w:asciiTheme="minorEastAsia" w:eastAsiaTheme="minorEastAsia" w:hAnsiTheme="minorEastAsia"/>
        </w:rPr>
        <w:t>与基金销售有关的费用</w:t>
      </w:r>
      <w:bookmarkEnd w:id="590"/>
    </w:p>
    <w:p w14:paraId="0C7B65B2" w14:textId="77777777" w:rsidR="00A37997" w:rsidRPr="00487553" w:rsidRDefault="00D94E68"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1、</w:t>
      </w:r>
      <w:r w:rsidR="00A37997" w:rsidRPr="00487553">
        <w:rPr>
          <w:rFonts w:asciiTheme="minorEastAsia" w:eastAsiaTheme="minorEastAsia" w:hAnsiTheme="minorEastAsia"/>
        </w:rPr>
        <w:t>本基金申购费、赎回费的费率水平、计算公式、收取方式和使用方式请详见本招募说明书</w:t>
      </w:r>
      <w:r w:rsidR="00CE69F2" w:rsidRPr="00487553">
        <w:rPr>
          <w:rFonts w:asciiTheme="minorEastAsia" w:eastAsiaTheme="minorEastAsia" w:hAnsiTheme="minorEastAsia" w:hint="eastAsia"/>
        </w:rPr>
        <w:t>“</w:t>
      </w:r>
      <w:r w:rsidR="0072498A" w:rsidRPr="00487553">
        <w:rPr>
          <w:rFonts w:asciiTheme="minorEastAsia" w:eastAsiaTheme="minorEastAsia" w:hAnsiTheme="minorEastAsia"/>
        </w:rPr>
        <w:t>第</w:t>
      </w:r>
      <w:r w:rsidR="0072498A" w:rsidRPr="00487553">
        <w:rPr>
          <w:rFonts w:asciiTheme="minorEastAsia" w:eastAsiaTheme="minorEastAsia" w:hAnsiTheme="minorEastAsia" w:hint="eastAsia"/>
        </w:rPr>
        <w:t>十</w:t>
      </w:r>
      <w:r w:rsidR="00A37997" w:rsidRPr="00487553">
        <w:rPr>
          <w:rFonts w:asciiTheme="minorEastAsia" w:eastAsiaTheme="minorEastAsia" w:hAnsiTheme="minorEastAsia"/>
        </w:rPr>
        <w:t>节　基金份额的申购、赎回</w:t>
      </w:r>
      <w:r w:rsidR="00CE69F2" w:rsidRPr="00487553">
        <w:rPr>
          <w:rFonts w:asciiTheme="minorEastAsia" w:eastAsiaTheme="minorEastAsia" w:hAnsiTheme="minorEastAsia" w:hint="eastAsia"/>
        </w:rPr>
        <w:t>”</w:t>
      </w:r>
      <w:r w:rsidR="00A37997" w:rsidRPr="00487553">
        <w:rPr>
          <w:rFonts w:asciiTheme="minorEastAsia" w:eastAsiaTheme="minorEastAsia" w:hAnsiTheme="minorEastAsia"/>
        </w:rPr>
        <w:t>中的</w:t>
      </w:r>
      <w:r w:rsidR="00CE69F2" w:rsidRPr="00487553">
        <w:rPr>
          <w:rFonts w:asciiTheme="minorEastAsia" w:eastAsiaTheme="minorEastAsia" w:hAnsiTheme="minorEastAsia" w:hint="eastAsia"/>
        </w:rPr>
        <w:t>“</w:t>
      </w:r>
      <w:r w:rsidR="00050AD8" w:rsidRPr="00487553">
        <w:rPr>
          <w:rFonts w:asciiTheme="minorEastAsia" w:eastAsiaTheme="minorEastAsia" w:hAnsiTheme="minorEastAsia" w:hint="eastAsia"/>
        </w:rPr>
        <w:t>七</w:t>
      </w:r>
      <w:r w:rsidR="00A37997" w:rsidRPr="00487553">
        <w:rPr>
          <w:rFonts w:asciiTheme="minorEastAsia" w:eastAsiaTheme="minorEastAsia" w:hAnsiTheme="minorEastAsia"/>
        </w:rPr>
        <w:t>、申购与赎回的费率</w:t>
      </w:r>
      <w:r w:rsidR="00CE69F2" w:rsidRPr="00487553">
        <w:rPr>
          <w:rFonts w:asciiTheme="minorEastAsia" w:eastAsiaTheme="minorEastAsia" w:hAnsiTheme="minorEastAsia" w:hint="eastAsia"/>
        </w:rPr>
        <w:t>”</w:t>
      </w:r>
      <w:r w:rsidR="00912E78" w:rsidRPr="00487553">
        <w:rPr>
          <w:rFonts w:asciiTheme="minorEastAsia" w:eastAsiaTheme="minorEastAsia" w:hAnsiTheme="minorEastAsia" w:hint="eastAsia"/>
        </w:rPr>
        <w:t>与</w:t>
      </w:r>
      <w:r w:rsidR="00CE69F2" w:rsidRPr="00487553">
        <w:rPr>
          <w:rFonts w:asciiTheme="minorEastAsia" w:eastAsiaTheme="minorEastAsia" w:hAnsiTheme="minorEastAsia" w:hint="eastAsia"/>
        </w:rPr>
        <w:t>“</w:t>
      </w:r>
      <w:r w:rsidR="00A37997" w:rsidRPr="00487553">
        <w:rPr>
          <w:rFonts w:asciiTheme="minorEastAsia" w:eastAsiaTheme="minorEastAsia" w:hAnsiTheme="minorEastAsia"/>
        </w:rPr>
        <w:t>八、申购份额与赎回金额的计算</w:t>
      </w:r>
      <w:r w:rsidR="00CE69F2" w:rsidRPr="00487553">
        <w:rPr>
          <w:rFonts w:asciiTheme="minorEastAsia" w:eastAsiaTheme="minorEastAsia" w:hAnsiTheme="minorEastAsia" w:hint="eastAsia"/>
        </w:rPr>
        <w:t>”</w:t>
      </w:r>
      <w:r w:rsidR="00A37997" w:rsidRPr="00487553">
        <w:rPr>
          <w:rFonts w:asciiTheme="minorEastAsia" w:eastAsiaTheme="minorEastAsia" w:hAnsiTheme="minorEastAsia"/>
        </w:rPr>
        <w:t>中的相关规定。</w:t>
      </w:r>
    </w:p>
    <w:p w14:paraId="74F91050" w14:textId="77777777" w:rsidR="00BA574E" w:rsidRPr="00487553" w:rsidRDefault="00BA574E"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2</w:t>
      </w:r>
      <w:r w:rsidR="00D94E68" w:rsidRPr="00487553">
        <w:rPr>
          <w:rFonts w:asciiTheme="minorEastAsia" w:eastAsiaTheme="minorEastAsia" w:hAnsiTheme="minorEastAsia" w:hint="eastAsia"/>
          <w:szCs w:val="21"/>
        </w:rPr>
        <w:t>、</w:t>
      </w:r>
      <w:r w:rsidRPr="00487553">
        <w:rPr>
          <w:rFonts w:asciiTheme="minorEastAsia" w:eastAsiaTheme="minorEastAsia" w:hAnsiTheme="minorEastAsia" w:hint="eastAsia"/>
          <w:szCs w:val="21"/>
        </w:rPr>
        <w:t>投资者通过本公司网上交易系统（www.efunds.com.cn）进行申购、赎回的交易费率，请具体参照我公司网站上的相关说明。</w:t>
      </w:r>
    </w:p>
    <w:p w14:paraId="11F3C52D" w14:textId="77777777" w:rsidR="00BA574E" w:rsidRPr="00487553" w:rsidRDefault="00C724EA"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3、</w:t>
      </w:r>
      <w:r w:rsidR="00BA574E" w:rsidRPr="00487553">
        <w:rPr>
          <w:rFonts w:asciiTheme="minorEastAsia" w:eastAsiaTheme="minorEastAsia" w:hAnsiTheme="minorEastAsia" w:hint="eastAsia"/>
          <w:szCs w:val="21"/>
        </w:rPr>
        <w:t>基金管理人可以在基金合同规定的范围内调整申购费率和赎回费率。上述费率如发生变更，基金管理人还应于新的费率实施日前依照《信息披露办法》的有关规定在指定媒体上公告。</w:t>
      </w:r>
    </w:p>
    <w:p w14:paraId="4FE0096B" w14:textId="77777777" w:rsidR="00BA574E" w:rsidRPr="00487553" w:rsidRDefault="00C724EA"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szCs w:val="21"/>
        </w:rPr>
        <w:t>4、</w:t>
      </w:r>
      <w:r w:rsidR="00AB23A4" w:rsidRPr="00487553">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14:paraId="60D61EF1" w14:textId="77777777" w:rsidR="0064594E" w:rsidRPr="00487553" w:rsidRDefault="00A37997" w:rsidP="00D94E68">
      <w:pPr>
        <w:pStyle w:val="2"/>
        <w:numPr>
          <w:ilvl w:val="1"/>
          <w:numId w:val="23"/>
        </w:numPr>
        <w:snapToGrid w:val="0"/>
        <w:spacing w:beforeLines="0" w:afterLines="0" w:line="360" w:lineRule="auto"/>
        <w:ind w:firstLineChars="0"/>
        <w:rPr>
          <w:rFonts w:asciiTheme="minorEastAsia" w:eastAsiaTheme="minorEastAsia" w:hAnsiTheme="minorEastAsia"/>
        </w:rPr>
      </w:pPr>
      <w:bookmarkStart w:id="591" w:name="_Toc84149673"/>
      <w:bookmarkStart w:id="592" w:name="_Toc86584637"/>
      <w:bookmarkStart w:id="593" w:name="_Toc20148456"/>
      <w:r w:rsidRPr="00487553">
        <w:rPr>
          <w:rFonts w:asciiTheme="minorEastAsia" w:eastAsiaTheme="minorEastAsia" w:hAnsiTheme="minorEastAsia"/>
        </w:rPr>
        <w:t>基金税收</w:t>
      </w:r>
      <w:bookmarkEnd w:id="591"/>
      <w:bookmarkEnd w:id="592"/>
      <w:bookmarkEnd w:id="593"/>
    </w:p>
    <w:p w14:paraId="116DF1EC" w14:textId="77777777" w:rsidR="008E5685" w:rsidRPr="00487553" w:rsidRDefault="008E5685" w:rsidP="00D94E68">
      <w:pPr>
        <w:snapToGrid w:val="0"/>
        <w:spacing w:line="360" w:lineRule="auto"/>
        <w:ind w:firstLine="420"/>
        <w:rPr>
          <w:rFonts w:asciiTheme="minorEastAsia" w:eastAsiaTheme="minorEastAsia" w:hAnsiTheme="minorEastAsia"/>
        </w:rPr>
      </w:pPr>
      <w:r w:rsidRPr="00487553">
        <w:rPr>
          <w:rFonts w:asciiTheme="minorEastAsia" w:eastAsiaTheme="minorEastAsia" w:hAnsiTheme="minorEastAsia" w:hint="eastAsia"/>
        </w:rPr>
        <w:t>本基金运作过程中涉及的各纳税主体，依照国家法律法规的规定履行纳税义务。</w:t>
      </w:r>
    </w:p>
    <w:p w14:paraId="41E6B391" w14:textId="5556AD4C"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594" w:name="_Toc306614238"/>
      <w:bookmarkStart w:id="595" w:name="_Toc20148457"/>
      <w:bookmarkEnd w:id="536"/>
      <w:bookmarkEnd w:id="594"/>
      <w:r w:rsidRPr="00487553">
        <w:rPr>
          <w:rFonts w:asciiTheme="minorEastAsia" w:eastAsiaTheme="minorEastAsia" w:hAnsiTheme="minorEastAsia"/>
        </w:rPr>
        <w:lastRenderedPageBreak/>
        <w:t>基金的财产</w:t>
      </w:r>
      <w:bookmarkEnd w:id="595"/>
    </w:p>
    <w:p w14:paraId="4A838A6E" w14:textId="77777777" w:rsidR="00B1127B" w:rsidRPr="00487553" w:rsidRDefault="00B1127B" w:rsidP="00D94E68">
      <w:pPr>
        <w:pStyle w:val="2"/>
        <w:numPr>
          <w:ilvl w:val="0"/>
          <w:numId w:val="47"/>
        </w:numPr>
        <w:snapToGrid w:val="0"/>
        <w:spacing w:beforeLines="0" w:afterLines="0" w:line="360" w:lineRule="auto"/>
        <w:ind w:firstLineChars="0"/>
        <w:rPr>
          <w:rFonts w:asciiTheme="minorEastAsia" w:eastAsiaTheme="minorEastAsia" w:hAnsiTheme="minorEastAsia"/>
        </w:rPr>
      </w:pPr>
      <w:bookmarkStart w:id="596" w:name="_Toc20148458"/>
      <w:r w:rsidRPr="00487553">
        <w:rPr>
          <w:rFonts w:asciiTheme="minorEastAsia" w:eastAsiaTheme="minorEastAsia" w:hAnsiTheme="minorEastAsia" w:hint="eastAsia"/>
        </w:rPr>
        <w:t>基金资产总值</w:t>
      </w:r>
      <w:bookmarkEnd w:id="596"/>
    </w:p>
    <w:p w14:paraId="3362861D" w14:textId="77777777" w:rsidR="00B1127B" w:rsidRPr="00487553" w:rsidRDefault="00B1127B"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本基金基金资产总值包括基金所持有的各类有价证券、银行存款本息、基金的应收款项和其他投资所形成的价值总和。</w:t>
      </w:r>
    </w:p>
    <w:p w14:paraId="65BFCC71" w14:textId="77777777" w:rsidR="00B1127B" w:rsidRPr="00487553" w:rsidRDefault="00B1127B" w:rsidP="00D94E68">
      <w:pPr>
        <w:pStyle w:val="2"/>
        <w:numPr>
          <w:ilvl w:val="0"/>
          <w:numId w:val="47"/>
        </w:numPr>
        <w:snapToGrid w:val="0"/>
        <w:spacing w:beforeLines="0" w:afterLines="0" w:line="360" w:lineRule="auto"/>
        <w:ind w:firstLineChars="0"/>
        <w:rPr>
          <w:rFonts w:asciiTheme="minorEastAsia" w:eastAsiaTheme="minorEastAsia" w:hAnsiTheme="minorEastAsia"/>
        </w:rPr>
      </w:pPr>
      <w:bookmarkStart w:id="597" w:name="_Toc20148459"/>
      <w:r w:rsidRPr="00487553">
        <w:rPr>
          <w:rFonts w:asciiTheme="minorEastAsia" w:eastAsiaTheme="minorEastAsia" w:hAnsiTheme="minorEastAsia" w:hint="eastAsia"/>
        </w:rPr>
        <w:t>基金资产净值</w:t>
      </w:r>
      <w:bookmarkEnd w:id="597"/>
    </w:p>
    <w:p w14:paraId="0A12F6F3" w14:textId="77777777" w:rsidR="00B1127B" w:rsidRPr="00487553" w:rsidRDefault="0001348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本基金基金资产净值是指基金资产总值减去负债后的净资产价值</w:t>
      </w:r>
      <w:r w:rsidR="00B1127B" w:rsidRPr="00487553">
        <w:rPr>
          <w:rFonts w:asciiTheme="minorEastAsia" w:eastAsiaTheme="minorEastAsia" w:hAnsiTheme="minorEastAsia" w:hint="eastAsia"/>
          <w:kern w:val="0"/>
          <w:szCs w:val="21"/>
        </w:rPr>
        <w:t>。</w:t>
      </w:r>
    </w:p>
    <w:p w14:paraId="14989156" w14:textId="77777777" w:rsidR="00B1127B" w:rsidRPr="00487553" w:rsidRDefault="00B1127B" w:rsidP="00D94E68">
      <w:pPr>
        <w:pStyle w:val="2"/>
        <w:numPr>
          <w:ilvl w:val="0"/>
          <w:numId w:val="47"/>
        </w:numPr>
        <w:snapToGrid w:val="0"/>
        <w:spacing w:beforeLines="0" w:afterLines="0" w:line="360" w:lineRule="auto"/>
        <w:ind w:firstLineChars="0"/>
        <w:rPr>
          <w:rFonts w:asciiTheme="minorEastAsia" w:eastAsiaTheme="minorEastAsia" w:hAnsiTheme="minorEastAsia"/>
        </w:rPr>
      </w:pPr>
      <w:bookmarkStart w:id="598" w:name="_Toc20148460"/>
      <w:r w:rsidRPr="00487553">
        <w:rPr>
          <w:rFonts w:asciiTheme="minorEastAsia" w:eastAsiaTheme="minorEastAsia" w:hAnsiTheme="minorEastAsia" w:hint="eastAsia"/>
        </w:rPr>
        <w:t>基金财产的账户</w:t>
      </w:r>
      <w:bookmarkEnd w:id="598"/>
    </w:p>
    <w:p w14:paraId="3C0C478A" w14:textId="77777777" w:rsidR="00FA2C17" w:rsidRPr="00487553" w:rsidRDefault="00FA2C1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根据相关法律法规开立基金资金账户以及证券账户。基金托管人或境外托管人按照规定或境外市场惯例开立基金财产的所有资金账户和证券账户。基金托管人应负责本基金银行存款账户的开立和管理。有关境外证券的注册登记方式应符合</w:t>
      </w:r>
      <w:r w:rsidR="00A11FE6" w:rsidRPr="00487553">
        <w:rPr>
          <w:rFonts w:asciiTheme="minorEastAsia" w:eastAsiaTheme="minorEastAsia" w:hAnsiTheme="minorEastAsia" w:hint="eastAsia"/>
          <w:kern w:val="0"/>
          <w:szCs w:val="21"/>
        </w:rPr>
        <w:t>投资地所在国家或地区</w:t>
      </w:r>
      <w:r w:rsidRPr="00487553">
        <w:rPr>
          <w:rFonts w:asciiTheme="minorEastAsia" w:eastAsiaTheme="minorEastAsia" w:hAnsiTheme="minorEastAsia" w:hint="eastAsia"/>
          <w:kern w:val="0"/>
          <w:szCs w:val="21"/>
        </w:rPr>
        <w:t>有关法律、法规和市场惯例。开立的基金专用账户与基金管理人、基金托管人自有的财产账户以及其他基金财产账户独立。</w:t>
      </w:r>
    </w:p>
    <w:p w14:paraId="3E2154EC" w14:textId="77777777" w:rsidR="00FA2C17" w:rsidRPr="00487553" w:rsidRDefault="00FA2C1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以本基金的名义在其营业机构开立本基金的银行存款托管账户；以基金托管人的名义在中国证券登记结算有限责任公司开立基金结算备付金账户，以本基金的名义在基金托管人托管系统中开立二级结算备付金账户；以基金托管人和本基金联名的方式在中国证券登记结算有限责任公司开立证券账户，以本基金的名义开立银行间债券托管账户并报中国人民银行备案。开立的上述基金财产账户与基金管理人、基金托管人、</w:t>
      </w:r>
      <w:r w:rsidR="005D6676" w:rsidRPr="00487553">
        <w:rPr>
          <w:rFonts w:asciiTheme="minorEastAsia" w:eastAsiaTheme="minorEastAsia" w:hAnsiTheme="minorEastAsia" w:hint="eastAsia"/>
          <w:kern w:val="0"/>
          <w:szCs w:val="21"/>
        </w:rPr>
        <w:t>销售</w:t>
      </w:r>
      <w:r w:rsidRPr="00487553">
        <w:rPr>
          <w:rFonts w:asciiTheme="minorEastAsia" w:eastAsiaTheme="minorEastAsia" w:hAnsiTheme="minorEastAsia" w:hint="eastAsia"/>
          <w:kern w:val="0"/>
          <w:szCs w:val="21"/>
        </w:rPr>
        <w:t>机构和注册登记机构自有的财产账户以及其他基金财产账户相独立。</w:t>
      </w:r>
    </w:p>
    <w:p w14:paraId="1FC3A8C5" w14:textId="77777777" w:rsidR="00FA2C17" w:rsidRPr="00487553" w:rsidRDefault="00FA2C17"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如国家相关法律法规调整，基金管理人和基金托管人有权依据新规定执行。</w:t>
      </w:r>
    </w:p>
    <w:p w14:paraId="302E4889" w14:textId="77777777" w:rsidR="00B1127B" w:rsidRPr="00487553" w:rsidRDefault="00B1127B" w:rsidP="00D94E68">
      <w:pPr>
        <w:pStyle w:val="2"/>
        <w:numPr>
          <w:ilvl w:val="0"/>
          <w:numId w:val="47"/>
        </w:numPr>
        <w:snapToGrid w:val="0"/>
        <w:spacing w:beforeLines="0" w:afterLines="0" w:line="360" w:lineRule="auto"/>
        <w:ind w:firstLineChars="0"/>
        <w:rPr>
          <w:rFonts w:asciiTheme="minorEastAsia" w:eastAsiaTheme="minorEastAsia" w:hAnsiTheme="minorEastAsia"/>
        </w:rPr>
      </w:pPr>
      <w:bookmarkStart w:id="599" w:name="_Toc310512463"/>
      <w:bookmarkStart w:id="600" w:name="_Toc310512627"/>
      <w:bookmarkStart w:id="601" w:name="_Toc310512780"/>
      <w:bookmarkStart w:id="602" w:name="_Toc310512933"/>
      <w:bookmarkStart w:id="603" w:name="_Toc310513073"/>
      <w:bookmarkStart w:id="604" w:name="_Toc310513212"/>
      <w:bookmarkStart w:id="605" w:name="_Toc310513348"/>
      <w:bookmarkStart w:id="606" w:name="_Toc323051024"/>
      <w:bookmarkStart w:id="607" w:name="_Toc310512464"/>
      <w:bookmarkStart w:id="608" w:name="_Toc310512628"/>
      <w:bookmarkStart w:id="609" w:name="_Toc310512781"/>
      <w:bookmarkStart w:id="610" w:name="_Toc310512934"/>
      <w:bookmarkStart w:id="611" w:name="_Toc310513074"/>
      <w:bookmarkStart w:id="612" w:name="_Toc310513213"/>
      <w:bookmarkStart w:id="613" w:name="_Toc310513349"/>
      <w:bookmarkStart w:id="614" w:name="_Toc323051025"/>
      <w:bookmarkStart w:id="615" w:name="_Toc310512465"/>
      <w:bookmarkStart w:id="616" w:name="_Toc310512629"/>
      <w:bookmarkStart w:id="617" w:name="_Toc310512782"/>
      <w:bookmarkStart w:id="618" w:name="_Toc310512935"/>
      <w:bookmarkStart w:id="619" w:name="_Toc310513075"/>
      <w:bookmarkStart w:id="620" w:name="_Toc310513214"/>
      <w:bookmarkStart w:id="621" w:name="_Toc310513350"/>
      <w:bookmarkStart w:id="622" w:name="_Toc323051026"/>
      <w:bookmarkStart w:id="623" w:name="_Toc2014846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487553">
        <w:rPr>
          <w:rFonts w:asciiTheme="minorEastAsia" w:eastAsiaTheme="minorEastAsia" w:hAnsiTheme="minorEastAsia" w:hint="eastAsia"/>
        </w:rPr>
        <w:t>基金财产的保管及处分</w:t>
      </w:r>
      <w:bookmarkEnd w:id="623"/>
    </w:p>
    <w:p w14:paraId="7AA187BB"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本基金财产独立于基金管理人、基金托管人的固有财产，基金管理人、基金托管人不得将基金财产归入其固有财产。</w:t>
      </w:r>
    </w:p>
    <w:p w14:paraId="21E11A94"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基金托管人应安全保管基金财产。</w:t>
      </w:r>
    </w:p>
    <w:p w14:paraId="53C56D2A"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基金管理人、基金托管人和境外托管人因基金财产的管理、运用或者其他情形而取得的财产和收益，归基金财产。</w:t>
      </w:r>
    </w:p>
    <w:p w14:paraId="57F9D673"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基金托管人对所托管的不同基金财产分别设置账户，确保基金财产的完整与独立。</w:t>
      </w:r>
    </w:p>
    <w:p w14:paraId="26A4CCBA"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管理人、基金托管人和境外托管人以其自有的财产承担自身相应的法律责任，其债权人不得对基金财产行使请求冻结、扣押或其他权利。基金管理人、基金托管人因依法解散、被依法撤销或者被依法宣告破产等原因进行清算的，基金财产不属于其清算范围。</w:t>
      </w:r>
    </w:p>
    <w:p w14:paraId="1B4EB1F9"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6</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基金财产的债权不得与基金管理人、基金托管人固有财产的债务相抵销；不同基金财产的债权债务，不得相互抵销。非因基金财产本身承担的债务，不得对基金财产强制执行。</w:t>
      </w:r>
    </w:p>
    <w:p w14:paraId="350E4BFD"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7</w:t>
      </w:r>
      <w:r w:rsidR="004C796B" w:rsidRPr="00487553">
        <w:rPr>
          <w:rFonts w:asciiTheme="minorEastAsia" w:eastAsiaTheme="minorEastAsia" w:hAnsiTheme="minorEastAsia" w:hint="eastAsia"/>
          <w:kern w:val="0"/>
          <w:szCs w:val="21"/>
        </w:rPr>
        <w:t>、</w:t>
      </w:r>
      <w:r w:rsidR="008057E4" w:rsidRPr="00487553">
        <w:rPr>
          <w:rFonts w:asciiTheme="minorEastAsia" w:eastAsiaTheme="minorEastAsia" w:hAnsiTheme="minorEastAsia" w:hint="eastAsia"/>
          <w:kern w:val="0"/>
          <w:szCs w:val="21"/>
        </w:rPr>
        <w:t>在符合基金</w:t>
      </w:r>
      <w:r w:rsidRPr="00487553">
        <w:rPr>
          <w:rFonts w:asciiTheme="minorEastAsia" w:eastAsiaTheme="minorEastAsia" w:hAnsiTheme="minorEastAsia" w:hint="eastAsia"/>
          <w:kern w:val="0"/>
          <w:szCs w:val="21"/>
        </w:rPr>
        <w:t>合同和托管协议有关资产保管的要求下，对境外托管人的破产而产生的损失，基金托管人不承担赔偿责任，基金托管人应尽合理努力采取行动以减轻损失，保护托管财产的权益，基金管理人配合基金托管人进行追偿。</w:t>
      </w:r>
    </w:p>
    <w:p w14:paraId="0085FB09" w14:textId="77777777"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8</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由于境外市场投资涉及境外市场结算规则，对于非因基金管理人、基金托管人及其委托代理人的原因造成的延迟交收等情况导致基金财产损失的，基金管理人、基金托管人不承担赔偿责任，但应当积极采取必要措施降低由此造成的影响。</w:t>
      </w:r>
    </w:p>
    <w:p w14:paraId="2EFC3EBE" w14:textId="794317A5" w:rsidR="003C77FE" w:rsidRPr="00487553" w:rsidRDefault="003C77FE"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9</w:t>
      </w:r>
      <w:r w:rsidR="004C796B" w:rsidRPr="00487553">
        <w:rPr>
          <w:rFonts w:asciiTheme="minorEastAsia" w:eastAsiaTheme="minorEastAsia" w:hAnsiTheme="minorEastAsia" w:hint="eastAsia"/>
          <w:kern w:val="0"/>
          <w:szCs w:val="21"/>
        </w:rPr>
        <w:t>、</w:t>
      </w:r>
      <w:r w:rsidRPr="00487553">
        <w:rPr>
          <w:rFonts w:asciiTheme="minorEastAsia" w:eastAsiaTheme="minorEastAsia" w:hAnsiTheme="minorEastAsia" w:hint="eastAsia"/>
          <w:kern w:val="0"/>
          <w:szCs w:val="21"/>
        </w:rPr>
        <w:t>基金托管人和境外托管人应妥善保存基金管理人基金财产汇入、汇出、兑换、收汇、现金往来及证券交易的记录、凭证等相关资料，并按规定的期限保管，但境外托管人持有的与境外托管人账户相关的资料可按照境外托管人的业务惯例保管。</w:t>
      </w:r>
    </w:p>
    <w:p w14:paraId="1DFFDAE4" w14:textId="77777777" w:rsidR="004C796B" w:rsidRPr="00487553" w:rsidRDefault="004C796B"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10、在充分履行选择境外托管人的义务情形下，基金托管人对境外托管人的破产及歇业、解散、停业整顿和被撤销和吊销营业执照</w:t>
      </w:r>
      <w:r w:rsidR="00497726" w:rsidRPr="00487553">
        <w:rPr>
          <w:rFonts w:asciiTheme="minorEastAsia" w:eastAsiaTheme="minorEastAsia" w:hAnsiTheme="minorEastAsia" w:hint="eastAsia"/>
          <w:kern w:val="0"/>
          <w:szCs w:val="21"/>
        </w:rPr>
        <w:t>给基金财产造成的损失</w:t>
      </w:r>
      <w:r w:rsidRPr="00487553">
        <w:rPr>
          <w:rFonts w:asciiTheme="minorEastAsia" w:eastAsiaTheme="minorEastAsia" w:hAnsiTheme="minorEastAsia" w:hint="eastAsia"/>
          <w:kern w:val="0"/>
          <w:szCs w:val="21"/>
        </w:rPr>
        <w:t>不承担责任。</w:t>
      </w:r>
    </w:p>
    <w:p w14:paraId="7B7D0FF7" w14:textId="77777777" w:rsidR="0064594E" w:rsidRPr="00487553" w:rsidRDefault="0064594E" w:rsidP="00D94E68">
      <w:pPr>
        <w:snapToGrid w:val="0"/>
        <w:spacing w:line="360" w:lineRule="auto"/>
        <w:ind w:firstLine="420"/>
        <w:rPr>
          <w:rFonts w:asciiTheme="minorEastAsia" w:eastAsiaTheme="minorEastAsia" w:hAnsiTheme="minorEastAsia"/>
          <w:kern w:val="0"/>
          <w:szCs w:val="21"/>
        </w:rPr>
      </w:pPr>
    </w:p>
    <w:p w14:paraId="07DA6298" w14:textId="1DEF0962"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624" w:name="_Toc20148462"/>
      <w:r w:rsidRPr="00487553">
        <w:rPr>
          <w:rFonts w:asciiTheme="minorEastAsia" w:eastAsiaTheme="minorEastAsia" w:hAnsiTheme="minorEastAsia"/>
        </w:rPr>
        <w:lastRenderedPageBreak/>
        <w:t>基金</w:t>
      </w:r>
      <w:r w:rsidR="00F73B8E" w:rsidRPr="00487553">
        <w:rPr>
          <w:rFonts w:asciiTheme="minorEastAsia" w:eastAsiaTheme="minorEastAsia" w:hAnsiTheme="minorEastAsia" w:hint="eastAsia"/>
        </w:rPr>
        <w:t>资</w:t>
      </w:r>
      <w:r w:rsidR="00F73B8E" w:rsidRPr="00487553">
        <w:rPr>
          <w:rFonts w:asciiTheme="minorEastAsia" w:eastAsiaTheme="minorEastAsia" w:hAnsiTheme="minorEastAsia"/>
        </w:rPr>
        <w:t>产</w:t>
      </w:r>
      <w:r w:rsidR="00265578" w:rsidRPr="00487553">
        <w:rPr>
          <w:rFonts w:asciiTheme="minorEastAsia" w:eastAsiaTheme="minorEastAsia" w:hAnsiTheme="minorEastAsia" w:hint="eastAsia"/>
        </w:rPr>
        <w:t>的</w:t>
      </w:r>
      <w:r w:rsidRPr="00487553">
        <w:rPr>
          <w:rFonts w:asciiTheme="minorEastAsia" w:eastAsiaTheme="minorEastAsia" w:hAnsiTheme="minorEastAsia"/>
        </w:rPr>
        <w:t>估值</w:t>
      </w:r>
      <w:bookmarkEnd w:id="624"/>
    </w:p>
    <w:p w14:paraId="600513A5"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25" w:name="_Toc20148463"/>
      <w:bookmarkStart w:id="626" w:name="_Toc84149655"/>
      <w:bookmarkStart w:id="627" w:name="_Toc66706733"/>
      <w:bookmarkStart w:id="628" w:name="_Toc86584624"/>
      <w:r w:rsidRPr="00487553">
        <w:rPr>
          <w:rFonts w:asciiTheme="minorEastAsia" w:eastAsiaTheme="minorEastAsia" w:hAnsiTheme="minorEastAsia" w:hint="eastAsia"/>
        </w:rPr>
        <w:t>估值目的</w:t>
      </w:r>
      <w:bookmarkEnd w:id="625"/>
    </w:p>
    <w:p w14:paraId="3DCF8426" w14:textId="77777777" w:rsidR="005B5A8A" w:rsidRPr="00487553" w:rsidRDefault="008F19DF" w:rsidP="00D94E68">
      <w:pPr>
        <w:snapToGrid w:val="0"/>
        <w:spacing w:line="360" w:lineRule="auto"/>
        <w:ind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基金资产的估值目的是客观、准确地反映基金财产的价值，并为基金份额的申购与赎回提供计价依据。</w:t>
      </w:r>
    </w:p>
    <w:p w14:paraId="5D0D6C29"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29" w:name="_Toc20148464"/>
      <w:r w:rsidRPr="00487553">
        <w:rPr>
          <w:rFonts w:asciiTheme="minorEastAsia" w:eastAsiaTheme="minorEastAsia" w:hAnsiTheme="minorEastAsia" w:hint="eastAsia"/>
        </w:rPr>
        <w:t>估值日</w:t>
      </w:r>
      <w:bookmarkEnd w:id="629"/>
    </w:p>
    <w:p w14:paraId="66FB503C" w14:textId="77777777" w:rsidR="005B5A8A" w:rsidRPr="00487553" w:rsidRDefault="005B5A8A"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本基金的估值日为本基金的开放日以及国家法律法规规定需要对外披露基金净值的非开放日。</w:t>
      </w:r>
    </w:p>
    <w:p w14:paraId="52420ADA"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0" w:name="_Toc20148465"/>
      <w:r w:rsidRPr="00487553">
        <w:rPr>
          <w:rFonts w:asciiTheme="minorEastAsia" w:eastAsiaTheme="minorEastAsia" w:hAnsiTheme="minorEastAsia" w:hint="eastAsia"/>
        </w:rPr>
        <w:t>估值对象</w:t>
      </w:r>
      <w:bookmarkEnd w:id="630"/>
    </w:p>
    <w:p w14:paraId="4AA72D1A" w14:textId="77777777" w:rsidR="005B5A8A" w:rsidRPr="00487553" w:rsidRDefault="008F19DF"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本基金所拥有的各类有价证券及本基金依据相关法律法规持有的其它资产。</w:t>
      </w:r>
    </w:p>
    <w:p w14:paraId="0A7A2B78"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1" w:name="_Toc20148466"/>
      <w:r w:rsidRPr="00487553">
        <w:rPr>
          <w:rFonts w:asciiTheme="minorEastAsia" w:eastAsiaTheme="minorEastAsia" w:hAnsiTheme="minorEastAsia" w:hint="eastAsia"/>
        </w:rPr>
        <w:t>估值方法</w:t>
      </w:r>
      <w:bookmarkEnd w:id="631"/>
    </w:p>
    <w:p w14:paraId="0BE25916" w14:textId="77777777" w:rsidR="008F19DF" w:rsidRPr="00487553" w:rsidRDefault="008F19DF"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1、目标ETF估值方法</w:t>
      </w:r>
    </w:p>
    <w:p w14:paraId="05806734" w14:textId="77777777" w:rsidR="008F19DF" w:rsidRPr="00487553" w:rsidRDefault="008F19DF"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对持有的目标ETF基金，按估值日目标ETF基金的份额净值估值。</w:t>
      </w:r>
    </w:p>
    <w:p w14:paraId="2A03F0F0" w14:textId="77777777" w:rsidR="005B5A8A" w:rsidRPr="00487553" w:rsidRDefault="00CB32B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2</w:t>
      </w:r>
      <w:r w:rsidR="00F02A69" w:rsidRPr="00487553">
        <w:rPr>
          <w:rFonts w:asciiTheme="minorEastAsia" w:eastAsiaTheme="minorEastAsia" w:hAnsiTheme="minorEastAsia" w:hint="eastAsia"/>
          <w:sz w:val="21"/>
          <w:szCs w:val="21"/>
        </w:rPr>
        <w:t>、</w:t>
      </w:r>
      <w:r w:rsidR="005B5A8A" w:rsidRPr="00487553">
        <w:rPr>
          <w:rFonts w:asciiTheme="minorEastAsia" w:eastAsiaTheme="minorEastAsia" w:hAnsiTheme="minorEastAsia" w:hint="eastAsia"/>
          <w:sz w:val="21"/>
          <w:szCs w:val="21"/>
        </w:rPr>
        <w:t>股票估值方法</w:t>
      </w:r>
    </w:p>
    <w:p w14:paraId="743EDFC1" w14:textId="77777777" w:rsidR="00CB32B9" w:rsidRPr="00487553" w:rsidRDefault="00CB32B9" w:rsidP="00D94E68">
      <w:pPr>
        <w:pStyle w:val="CM59"/>
        <w:snapToGrid w:val="0"/>
        <w:spacing w:after="0" w:line="360" w:lineRule="auto"/>
        <w:ind w:firstLine="420"/>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（1）上市流通的股票按估值日在证券交易所的收盘价估值；估值日无交易的，以最近交易日的收盘价估值。</w:t>
      </w:r>
    </w:p>
    <w:p w14:paraId="2B1AF4A3" w14:textId="77777777" w:rsidR="00CB32B9" w:rsidRPr="00487553" w:rsidRDefault="00CB32B9" w:rsidP="00D94E68">
      <w:pPr>
        <w:pStyle w:val="CM59"/>
        <w:snapToGrid w:val="0"/>
        <w:spacing w:after="0" w:line="360" w:lineRule="auto"/>
        <w:ind w:firstLine="420"/>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（2）处于未上市期间的股票应区分如下情况处理：</w:t>
      </w:r>
    </w:p>
    <w:p w14:paraId="4427DF11" w14:textId="77777777" w:rsidR="00CB32B9" w:rsidRPr="00487553" w:rsidRDefault="00CB32B9" w:rsidP="00D94E68">
      <w:pPr>
        <w:pStyle w:val="CM59"/>
        <w:snapToGrid w:val="0"/>
        <w:spacing w:after="0" w:line="360" w:lineRule="auto"/>
        <w:ind w:firstLine="420"/>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1）首次发行未上市的股票，采用估值技术确定公允价值，在估值技术难以可靠计量公允价值的情况下，按成本价估值；</w:t>
      </w:r>
    </w:p>
    <w:p w14:paraId="48A55E73" w14:textId="77777777" w:rsidR="00CB32B9" w:rsidRPr="00487553" w:rsidRDefault="00CB32B9" w:rsidP="00D94E68">
      <w:pPr>
        <w:pStyle w:val="CM59"/>
        <w:snapToGrid w:val="0"/>
        <w:spacing w:after="0" w:line="360" w:lineRule="auto"/>
        <w:ind w:firstLine="420"/>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2）送股、转增股、配股和增发新股，按估值日在证券交易所上市的同一股票的收盘价进行估值；该日无交易的，以最近一日的收盘价估值；</w:t>
      </w:r>
    </w:p>
    <w:p w14:paraId="0B25425D" w14:textId="77777777" w:rsidR="005B5A8A" w:rsidRPr="00487553" w:rsidRDefault="00CB32B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3）首次公开发行有明确锁定期的股票，同一股票在交易所上市后，按估值日在证券交易所上市的同一股票的收盘价进行估值。</w:t>
      </w:r>
    </w:p>
    <w:p w14:paraId="2F6FA26F"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3、</w:t>
      </w:r>
      <w:r w:rsidR="005B5A8A" w:rsidRPr="00487553">
        <w:rPr>
          <w:rFonts w:asciiTheme="minorEastAsia" w:eastAsiaTheme="minorEastAsia" w:hAnsiTheme="minorEastAsia" w:hint="eastAsia"/>
          <w:sz w:val="21"/>
          <w:szCs w:val="21"/>
        </w:rPr>
        <w:t>基金估值方法</w:t>
      </w:r>
    </w:p>
    <w:p w14:paraId="68B73C16" w14:textId="7647B290" w:rsidR="00CB32B9" w:rsidRPr="00487553" w:rsidRDefault="00CB32B9" w:rsidP="00D94E68">
      <w:pPr>
        <w:pStyle w:val="CM59"/>
        <w:snapToGrid w:val="0"/>
        <w:spacing w:after="0" w:line="360" w:lineRule="auto"/>
        <w:ind w:firstLine="420"/>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（1）除目标ETF基金外，上市流通的基金按估值日在证券交易所的收盘价估值；估值日无交易的，以最近交易日的收盘价估值；</w:t>
      </w:r>
    </w:p>
    <w:p w14:paraId="588907EF" w14:textId="77777777" w:rsidR="005B5A8A" w:rsidRPr="00487553" w:rsidRDefault="00CB32B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（2）非上市流通基金以估值截止时点能够取得的最新基金份额净值进行估值。</w:t>
      </w:r>
    </w:p>
    <w:p w14:paraId="1C0243E7"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4、</w:t>
      </w:r>
      <w:r w:rsidR="005B5A8A" w:rsidRPr="00487553">
        <w:rPr>
          <w:rFonts w:asciiTheme="minorEastAsia" w:eastAsiaTheme="minorEastAsia" w:hAnsiTheme="minorEastAsia" w:hint="eastAsia"/>
          <w:sz w:val="21"/>
          <w:szCs w:val="21"/>
        </w:rPr>
        <w:t>债券估值方法</w:t>
      </w:r>
    </w:p>
    <w:p w14:paraId="1DF3B3DC" w14:textId="77777777" w:rsidR="005B5A8A" w:rsidRPr="00487553" w:rsidRDefault="005B5A8A"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14:paraId="2947C894" w14:textId="77777777" w:rsidR="005B5A8A" w:rsidRPr="00487553" w:rsidRDefault="005B5A8A" w:rsidP="00D94E68">
      <w:pPr>
        <w:pStyle w:val="Default"/>
        <w:snapToGrid w:val="0"/>
        <w:spacing w:line="360" w:lineRule="auto"/>
        <w:ind w:firstLine="420"/>
        <w:rPr>
          <w:rFonts w:asciiTheme="minorEastAsia" w:eastAsiaTheme="minorEastAsia" w:hAnsiTheme="minorEastAsia"/>
          <w:color w:val="auto"/>
          <w:sz w:val="21"/>
          <w:szCs w:val="21"/>
        </w:rPr>
      </w:pPr>
      <w:r w:rsidRPr="00487553">
        <w:rPr>
          <w:rFonts w:asciiTheme="minorEastAsia" w:eastAsiaTheme="minorEastAsia" w:hAnsiTheme="minorEastAsia" w:hint="eastAsia"/>
          <w:color w:val="auto"/>
          <w:sz w:val="21"/>
          <w:szCs w:val="21"/>
        </w:rPr>
        <w:lastRenderedPageBreak/>
        <w:t>（2）对于非上市债券，参照主要做市商或其他权威价格提供机构的报价进行估值。</w:t>
      </w:r>
    </w:p>
    <w:p w14:paraId="41E69E72"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5、</w:t>
      </w:r>
      <w:r w:rsidR="005B5A8A" w:rsidRPr="00487553">
        <w:rPr>
          <w:rFonts w:asciiTheme="minorEastAsia" w:eastAsiaTheme="minorEastAsia" w:hAnsiTheme="minorEastAsia" w:hint="eastAsia"/>
          <w:sz w:val="21"/>
          <w:szCs w:val="21"/>
        </w:rPr>
        <w:t>衍生品估值方法</w:t>
      </w:r>
    </w:p>
    <w:p w14:paraId="47595C99" w14:textId="77777777" w:rsidR="005B5A8A" w:rsidRPr="00487553" w:rsidRDefault="005B5A8A" w:rsidP="00D94E68">
      <w:pPr>
        <w:pStyle w:val="Default"/>
        <w:snapToGrid w:val="0"/>
        <w:spacing w:line="360" w:lineRule="auto"/>
        <w:ind w:firstLine="420"/>
        <w:rPr>
          <w:rFonts w:asciiTheme="minorEastAsia" w:eastAsiaTheme="minorEastAsia" w:hAnsiTheme="minorEastAsia"/>
          <w:color w:val="auto"/>
          <w:sz w:val="21"/>
          <w:szCs w:val="21"/>
        </w:rPr>
      </w:pPr>
      <w:r w:rsidRPr="00487553">
        <w:rPr>
          <w:rFonts w:asciiTheme="minorEastAsia" w:eastAsiaTheme="minorEastAsia" w:hAnsiTheme="minorEastAsia" w:hint="eastAsia"/>
          <w:color w:val="auto"/>
          <w:sz w:val="21"/>
          <w:szCs w:val="21"/>
        </w:rPr>
        <w:t>（1）上市流通衍生品按估值日在证券交易所的收盘价估值；估值日无交易的，以最近交易日的收盘价估值。</w:t>
      </w:r>
    </w:p>
    <w:p w14:paraId="4A42239C" w14:textId="77777777" w:rsidR="005B5A8A" w:rsidRPr="00487553" w:rsidRDefault="005B5A8A" w:rsidP="00D94E68">
      <w:pPr>
        <w:pStyle w:val="Default"/>
        <w:snapToGrid w:val="0"/>
        <w:spacing w:line="360" w:lineRule="auto"/>
        <w:ind w:firstLine="420"/>
        <w:rPr>
          <w:rFonts w:asciiTheme="minorEastAsia" w:eastAsiaTheme="minorEastAsia" w:hAnsiTheme="minorEastAsia"/>
          <w:color w:val="auto"/>
          <w:sz w:val="21"/>
          <w:szCs w:val="21"/>
        </w:rPr>
      </w:pPr>
      <w:r w:rsidRPr="00487553">
        <w:rPr>
          <w:rFonts w:asciiTheme="minorEastAsia" w:eastAsiaTheme="minorEastAsia" w:hAnsiTheme="minorEastAsia" w:hint="eastAsia"/>
          <w:color w:val="auto"/>
          <w:sz w:val="21"/>
          <w:szCs w:val="21"/>
        </w:rPr>
        <w:t>（2）非上市衍生品采用</w:t>
      </w:r>
      <w:r w:rsidRPr="00487553">
        <w:rPr>
          <w:rFonts w:asciiTheme="minorEastAsia" w:eastAsiaTheme="minorEastAsia" w:hAnsiTheme="minorEastAsia"/>
          <w:color w:val="auto"/>
          <w:sz w:val="21"/>
          <w:szCs w:val="21"/>
        </w:rPr>
        <w:t>估值技术确定公允价值，在估值技术难以可靠计量公允价值的情况下，按成本估值。</w:t>
      </w:r>
    </w:p>
    <w:p w14:paraId="665D0331"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6、</w:t>
      </w:r>
      <w:r w:rsidR="00A52B83" w:rsidRPr="00487553">
        <w:rPr>
          <w:rFonts w:asciiTheme="minorEastAsia" w:eastAsiaTheme="minorEastAsia" w:hAnsiTheme="minorEastAsia" w:hint="eastAsia"/>
          <w:sz w:val="21"/>
          <w:szCs w:val="21"/>
        </w:rPr>
        <w:t>估值</w:t>
      </w:r>
      <w:r w:rsidR="005B5A8A" w:rsidRPr="00487553">
        <w:rPr>
          <w:rFonts w:asciiTheme="minorEastAsia" w:eastAsiaTheme="minorEastAsia" w:hAnsiTheme="minorEastAsia"/>
          <w:sz w:val="21"/>
          <w:szCs w:val="21"/>
        </w:rPr>
        <w:t>汇率</w:t>
      </w:r>
    </w:p>
    <w:p w14:paraId="195061BE" w14:textId="77777777" w:rsidR="005B5A8A" w:rsidRPr="00487553" w:rsidRDefault="005B5A8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（1）估值计算中涉及主要货币对人民币汇率的，将依据下列信息提供机构所提供的汇率为基准：当日中国人民银行公布的人民币与主要货币的中间价。</w:t>
      </w:r>
      <w:r w:rsidRPr="00487553">
        <w:rPr>
          <w:rFonts w:asciiTheme="minorEastAsia" w:eastAsiaTheme="minorEastAsia" w:hAnsiTheme="minorEastAsia" w:hint="eastAsia"/>
          <w:kern w:val="0"/>
          <w:szCs w:val="21"/>
        </w:rPr>
        <w:t>主要外汇种类以中国人民银行或其授权机构最新公布为准。</w:t>
      </w:r>
    </w:p>
    <w:p w14:paraId="3BC281ED" w14:textId="77777777" w:rsidR="005B5A8A" w:rsidRPr="00487553" w:rsidRDefault="005B5A8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（2）其他货币采用美元作为中间货币进行换算，</w:t>
      </w:r>
      <w:r w:rsidR="009D262F" w:rsidRPr="00487553">
        <w:rPr>
          <w:rFonts w:asciiTheme="minorEastAsia" w:eastAsiaTheme="minorEastAsia" w:hAnsiTheme="minorEastAsia" w:hint="eastAsia"/>
          <w:kern w:val="0"/>
          <w:szCs w:val="21"/>
        </w:rPr>
        <w:t>采用彭博伦敦下午四点的汇率套算。基金管理人和托管人经协商可对所采用的汇率来源进行调整</w:t>
      </w:r>
      <w:r w:rsidRPr="00487553">
        <w:rPr>
          <w:rFonts w:asciiTheme="minorEastAsia" w:eastAsiaTheme="minorEastAsia" w:hAnsiTheme="minorEastAsia" w:hint="eastAsia"/>
          <w:kern w:val="0"/>
          <w:szCs w:val="21"/>
        </w:rPr>
        <w:t>。</w:t>
      </w:r>
    </w:p>
    <w:p w14:paraId="2FFF3B03" w14:textId="77777777" w:rsidR="005B5A8A" w:rsidRPr="00487553" w:rsidRDefault="005B5A8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若无法取得上述汇率价格信息时，以</w:t>
      </w:r>
      <w:r w:rsidRPr="00487553">
        <w:rPr>
          <w:rFonts w:asciiTheme="minorEastAsia" w:eastAsiaTheme="minorEastAsia" w:hAnsiTheme="minorEastAsia" w:hint="eastAsia"/>
          <w:kern w:val="0"/>
          <w:szCs w:val="21"/>
        </w:rPr>
        <w:t>基金</w:t>
      </w:r>
      <w:r w:rsidRPr="00487553">
        <w:rPr>
          <w:rFonts w:asciiTheme="minorEastAsia" w:eastAsiaTheme="minorEastAsia" w:hAnsiTheme="minorEastAsia"/>
          <w:kern w:val="0"/>
          <w:szCs w:val="21"/>
        </w:rPr>
        <w:t>托管</w:t>
      </w:r>
      <w:r w:rsidRPr="00487553">
        <w:rPr>
          <w:rFonts w:asciiTheme="minorEastAsia" w:eastAsiaTheme="minorEastAsia" w:hAnsiTheme="minorEastAsia" w:hint="eastAsia"/>
          <w:kern w:val="0"/>
          <w:szCs w:val="21"/>
        </w:rPr>
        <w:t>人</w:t>
      </w:r>
      <w:r w:rsidRPr="00487553">
        <w:rPr>
          <w:rFonts w:asciiTheme="minorEastAsia" w:eastAsiaTheme="minorEastAsia" w:hAnsiTheme="minorEastAsia"/>
          <w:kern w:val="0"/>
          <w:szCs w:val="21"/>
        </w:rPr>
        <w:t>或境外托管人所提供的合理公开外汇市场交易价格为准。</w:t>
      </w:r>
    </w:p>
    <w:p w14:paraId="6D87BABA"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7、</w:t>
      </w:r>
      <w:r w:rsidR="005B5A8A" w:rsidRPr="00487553">
        <w:rPr>
          <w:rFonts w:asciiTheme="minorEastAsia" w:eastAsiaTheme="minorEastAsia" w:hAnsiTheme="minorEastAsia" w:hint="eastAsia"/>
          <w:sz w:val="21"/>
          <w:szCs w:val="21"/>
        </w:rPr>
        <w:t>税收</w:t>
      </w:r>
    </w:p>
    <w:p w14:paraId="0B136D35" w14:textId="77777777" w:rsidR="005B5A8A" w:rsidRPr="00487553" w:rsidRDefault="005B5A8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35132A5"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8、</w:t>
      </w:r>
      <w:r w:rsidR="005B5A8A" w:rsidRPr="00487553">
        <w:rPr>
          <w:rFonts w:asciiTheme="minorEastAsia" w:eastAsiaTheme="minorEastAsia" w:hAnsiTheme="minorEastAsia" w:hint="eastAsia"/>
          <w:sz w:val="21"/>
          <w:szCs w:val="21"/>
        </w:rPr>
        <w:t>在任何情况下，基金管理人如采用上述第1-7项规定的方法对基金资产进行估值，均应被认为采用了适当的估值方法。</w:t>
      </w:r>
    </w:p>
    <w:p w14:paraId="5D1093BF"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9、</w:t>
      </w:r>
      <w:r w:rsidR="005B5A8A" w:rsidRPr="00487553">
        <w:rPr>
          <w:rFonts w:asciiTheme="minorEastAsia" w:eastAsiaTheme="minorEastAsia" w:hAnsiTheme="minorEastAsia"/>
          <w:sz w:val="21"/>
          <w:szCs w:val="21"/>
        </w:rPr>
        <w:t>如有确凿证据表明按上述方法进行估值不能客观反映其公允价值的，基金管理人可根据具体情况与基金托管人商定后，按最能反映公允价值的价格估值。</w:t>
      </w:r>
    </w:p>
    <w:p w14:paraId="6000DBE1" w14:textId="77777777" w:rsidR="005B5A8A" w:rsidRPr="00487553" w:rsidRDefault="00F02A69" w:rsidP="00D94E68">
      <w:pPr>
        <w:pStyle w:val="CM59"/>
        <w:snapToGrid w:val="0"/>
        <w:spacing w:after="0" w:line="360" w:lineRule="auto"/>
        <w:ind w:firstLine="420"/>
        <w:jc w:val="both"/>
        <w:rPr>
          <w:rFonts w:asciiTheme="minorEastAsia" w:eastAsiaTheme="minorEastAsia" w:hAnsiTheme="minorEastAsia"/>
          <w:sz w:val="21"/>
          <w:szCs w:val="21"/>
        </w:rPr>
      </w:pPr>
      <w:r w:rsidRPr="00487553">
        <w:rPr>
          <w:rFonts w:asciiTheme="minorEastAsia" w:eastAsiaTheme="minorEastAsia" w:hAnsiTheme="minorEastAsia" w:hint="eastAsia"/>
          <w:sz w:val="21"/>
          <w:szCs w:val="21"/>
        </w:rPr>
        <w:t>10、</w:t>
      </w:r>
      <w:r w:rsidR="005B5A8A" w:rsidRPr="00487553">
        <w:rPr>
          <w:rFonts w:asciiTheme="minorEastAsia" w:eastAsiaTheme="minorEastAsia" w:hAnsiTheme="minorEastAsia" w:hint="eastAsia"/>
          <w:sz w:val="21"/>
          <w:szCs w:val="21"/>
        </w:rPr>
        <w:t>相关法律法规以及监管部门有强制规定的，从其规定。如有新增事项，按国家最新规定估值。</w:t>
      </w:r>
    </w:p>
    <w:p w14:paraId="1C004140" w14:textId="77777777" w:rsidR="005B5A8A" w:rsidRPr="00487553" w:rsidRDefault="005B5A8A"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r w:rsidRPr="00487553">
        <w:rPr>
          <w:rFonts w:asciiTheme="minorEastAsia" w:eastAsiaTheme="minorEastAsia" w:hAnsiTheme="minorEastAsia" w:hint="eastAsia"/>
          <w:szCs w:val="21"/>
        </w:rPr>
        <w:t>。</w:t>
      </w:r>
    </w:p>
    <w:p w14:paraId="50D3E70D"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2" w:name="_Toc20148467"/>
      <w:r w:rsidRPr="00487553">
        <w:rPr>
          <w:rFonts w:asciiTheme="minorEastAsia" w:eastAsiaTheme="minorEastAsia" w:hAnsiTheme="minorEastAsia" w:hint="eastAsia"/>
        </w:rPr>
        <w:t>估值程序</w:t>
      </w:r>
      <w:bookmarkEnd w:id="632"/>
    </w:p>
    <w:p w14:paraId="6C53BD67" w14:textId="77777777" w:rsidR="00CB32B9" w:rsidRPr="00487553" w:rsidRDefault="00CB32B9"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基金日常估值由基金管理人同基金托管人一同进行。基金份额净值由基金管理人于估值日完成估值后，将估值结果以双方约定形式报给基金托管人，基金托管人按基金合同规定的估值方法、时间、程序进行复核，基金托管人复核无误后将结果反馈给基金管理人，由基金管理人对外公布。月末、年中和年末估值复核与基金会计账目的核对同时进行。</w:t>
      </w:r>
    </w:p>
    <w:p w14:paraId="639616E5" w14:textId="77777777" w:rsidR="005B5A8A" w:rsidRPr="00487553" w:rsidRDefault="00CB32B9"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在法律法规和中国证监会允许的情况下，基金管理人与基金托管人可以各自委托第三</w:t>
      </w:r>
      <w:r w:rsidRPr="00487553">
        <w:rPr>
          <w:rFonts w:asciiTheme="minorEastAsia" w:eastAsiaTheme="minorEastAsia" w:hAnsiTheme="minorEastAsia" w:hint="eastAsia"/>
          <w:szCs w:val="21"/>
        </w:rPr>
        <w:lastRenderedPageBreak/>
        <w:t>方机构进行基金资产估值，但不改变基金管理人与基金托管人对基金资产估值各自承担的责任。</w:t>
      </w:r>
    </w:p>
    <w:p w14:paraId="0FF94069"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3" w:name="_Toc20148468"/>
      <w:r w:rsidRPr="00487553">
        <w:rPr>
          <w:rFonts w:asciiTheme="minorEastAsia" w:eastAsiaTheme="minorEastAsia" w:hAnsiTheme="minorEastAsia" w:hint="eastAsia"/>
        </w:rPr>
        <w:t>暂停估值的情形</w:t>
      </w:r>
      <w:bookmarkEnd w:id="633"/>
    </w:p>
    <w:p w14:paraId="6828C13A" w14:textId="77777777" w:rsidR="002709D7" w:rsidRPr="00487553" w:rsidRDefault="002709D7"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、基金投资所涉及的境外投资主要市场或外汇市场临时停市时；</w:t>
      </w:r>
    </w:p>
    <w:p w14:paraId="7E89BA0A" w14:textId="77777777" w:rsidR="002709D7" w:rsidRPr="00487553" w:rsidRDefault="002709D7"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szCs w:val="21"/>
        </w:rPr>
        <w:t>2</w:t>
      </w:r>
      <w:r w:rsidRPr="00487553">
        <w:rPr>
          <w:rFonts w:asciiTheme="minorEastAsia" w:eastAsiaTheme="minorEastAsia" w:hAnsiTheme="minorEastAsia" w:hint="eastAsia"/>
          <w:szCs w:val="21"/>
        </w:rPr>
        <w:t>、因不可抗力或其他情形致使基金管理人、基金托管人无法准确评估基金财产价值时；</w:t>
      </w:r>
    </w:p>
    <w:p w14:paraId="04B30806" w14:textId="379A46D5" w:rsidR="002709D7" w:rsidRPr="00487553" w:rsidRDefault="002709D7"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3、本基金所投资的目标ETF发生暂停估值的情形；</w:t>
      </w:r>
    </w:p>
    <w:p w14:paraId="6347815B" w14:textId="349C316C" w:rsidR="002709D7" w:rsidRPr="00487553" w:rsidRDefault="002709D7"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4、</w:t>
      </w:r>
      <w:r w:rsidRPr="00487553">
        <w:rPr>
          <w:rFonts w:asciiTheme="minorEastAsia" w:eastAsiaTheme="minorEastAsia" w:hAnsiTheme="minorEastAsia"/>
          <w:szCs w:val="21"/>
        </w:rPr>
        <w:t>占基金相当比例的投资品种的估值出现重大转变，而基金管理人为保障</w:t>
      </w:r>
      <w:r w:rsidRPr="00487553">
        <w:rPr>
          <w:rFonts w:asciiTheme="minorEastAsia" w:eastAsiaTheme="minorEastAsia" w:hAnsiTheme="minorEastAsia" w:hint="eastAsia"/>
          <w:szCs w:val="21"/>
        </w:rPr>
        <w:t>基金份额持有人</w:t>
      </w:r>
      <w:r w:rsidRPr="00487553">
        <w:rPr>
          <w:rFonts w:asciiTheme="minorEastAsia" w:eastAsiaTheme="minorEastAsia" w:hAnsiTheme="minorEastAsia"/>
          <w:szCs w:val="21"/>
        </w:rPr>
        <w:t>的利益，决定延迟估值</w:t>
      </w:r>
      <w:r w:rsidRPr="00487553">
        <w:rPr>
          <w:rFonts w:asciiTheme="minorEastAsia" w:eastAsiaTheme="minorEastAsia" w:hAnsiTheme="minorEastAsia" w:hint="eastAsia"/>
          <w:szCs w:val="21"/>
        </w:rPr>
        <w:t>时；</w:t>
      </w:r>
    </w:p>
    <w:p w14:paraId="493A5C38" w14:textId="77777777" w:rsidR="002709D7" w:rsidRPr="00487553" w:rsidRDefault="002709D7"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5、</w:t>
      </w:r>
      <w:r w:rsidRPr="00487553">
        <w:rPr>
          <w:rFonts w:asciiTheme="minorEastAsia" w:eastAsiaTheme="minorEastAsia" w:hAnsiTheme="minorEastAsia"/>
          <w:szCs w:val="21"/>
        </w:rPr>
        <w:t>出现基金管理人认为属于紧急事故的情况，导致基金管理人不能出售或评估基金资产</w:t>
      </w:r>
      <w:r w:rsidRPr="00487553">
        <w:rPr>
          <w:rFonts w:asciiTheme="minorEastAsia" w:eastAsiaTheme="minorEastAsia" w:hAnsiTheme="minorEastAsia" w:hint="eastAsia"/>
          <w:szCs w:val="21"/>
        </w:rPr>
        <w:t>时；</w:t>
      </w:r>
    </w:p>
    <w:p w14:paraId="5EF0BA37" w14:textId="6720C01E" w:rsidR="00E91292" w:rsidRPr="00487553" w:rsidRDefault="00E91292"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6、当前一估值日基金资产净值50%以上的资产出现无可参考的活跃市场价格且采用估值技术仍导致公允价值存在重大不确定性时，经与基金托管人协商一致的；</w:t>
      </w:r>
    </w:p>
    <w:p w14:paraId="5424C312" w14:textId="6CD22ED8" w:rsidR="005B5A8A" w:rsidRPr="00487553" w:rsidRDefault="00E91292"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7</w:t>
      </w:r>
      <w:r w:rsidR="002709D7" w:rsidRPr="00487553">
        <w:rPr>
          <w:rFonts w:asciiTheme="minorEastAsia" w:eastAsiaTheme="minorEastAsia" w:hAnsiTheme="minorEastAsia" w:hint="eastAsia"/>
          <w:szCs w:val="21"/>
        </w:rPr>
        <w:t>、中国证监会</w:t>
      </w:r>
      <w:r w:rsidR="002709D7" w:rsidRPr="00487553">
        <w:rPr>
          <w:rFonts w:asciiTheme="minorEastAsia" w:eastAsiaTheme="minorEastAsia" w:hAnsiTheme="minorEastAsia"/>
          <w:szCs w:val="21"/>
        </w:rPr>
        <w:t>和基金合同</w:t>
      </w:r>
      <w:r w:rsidR="002709D7" w:rsidRPr="00487553">
        <w:rPr>
          <w:rFonts w:asciiTheme="minorEastAsia" w:eastAsiaTheme="minorEastAsia" w:hAnsiTheme="minorEastAsia" w:hint="eastAsia"/>
          <w:szCs w:val="21"/>
        </w:rPr>
        <w:t>认定的其他情形。</w:t>
      </w:r>
    </w:p>
    <w:p w14:paraId="215C6361"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4" w:name="_Toc20148469"/>
      <w:r w:rsidRPr="00487553">
        <w:rPr>
          <w:rFonts w:asciiTheme="minorEastAsia" w:eastAsiaTheme="minorEastAsia" w:hAnsiTheme="minorEastAsia" w:hint="eastAsia"/>
        </w:rPr>
        <w:t>基金份额净值的确认</w:t>
      </w:r>
      <w:bookmarkEnd w:id="634"/>
    </w:p>
    <w:p w14:paraId="705D51E8" w14:textId="77777777" w:rsidR="00DB693D" w:rsidRPr="00487553" w:rsidRDefault="00DB693D"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用于基金信息披露的基金份额净值由基金管理人负责计算，基金托管人进行复核。基金管理人每个</w:t>
      </w:r>
      <w:r w:rsidR="00DB0CFE" w:rsidRPr="00487553">
        <w:rPr>
          <w:rFonts w:asciiTheme="minorEastAsia" w:eastAsiaTheme="minorEastAsia" w:hAnsiTheme="minorEastAsia" w:hint="eastAsia"/>
          <w:szCs w:val="21"/>
        </w:rPr>
        <w:t>估值</w:t>
      </w:r>
      <w:r w:rsidRPr="00487553">
        <w:rPr>
          <w:rFonts w:asciiTheme="minorEastAsia" w:eastAsiaTheme="minorEastAsia" w:hAnsiTheme="minorEastAsia" w:hint="eastAsia"/>
          <w:szCs w:val="21"/>
        </w:rPr>
        <w:t>日计算基金份额净值并发送给基金托管人。基金托管人对净值计算结果复核确认后发送给基金管理人。</w:t>
      </w:r>
    </w:p>
    <w:p w14:paraId="471C3109" w14:textId="77777777" w:rsidR="00823FD2" w:rsidRPr="00487553" w:rsidRDefault="00823FD2" w:rsidP="00B01706">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本基金各类基金份额将分别计算基金份额净值。</w:t>
      </w:r>
    </w:p>
    <w:p w14:paraId="1F91F492" w14:textId="77777777" w:rsidR="00823FD2" w:rsidRPr="00487553" w:rsidRDefault="00823FD2"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szCs w:val="21"/>
        </w:rPr>
        <w:t>A类人民币基金份额的基金份额净值指以计算日A类基金资产净值除以计算日A类基金份额余额后得出的单位基金份额的价值，计算日A类基金份额余额为计算日A类各币种基金份额余额的合计数；A类外币基金份额的基金份额净值以A类人民币基金份额的基金份额净值为基础，按照计算日的估值汇率进行折算；C类基金份额的基金份额净值指以计算日C类基金份额的基金资产净值除以计算日C类基金份额余额后得出的单位基金份额的价值</w:t>
      </w:r>
      <w:r w:rsidRPr="00487553">
        <w:rPr>
          <w:rFonts w:asciiTheme="minorEastAsia" w:eastAsiaTheme="minorEastAsia" w:hAnsiTheme="minorEastAsia" w:hint="eastAsia"/>
          <w:szCs w:val="21"/>
        </w:rPr>
        <w:t>。</w:t>
      </w:r>
    </w:p>
    <w:p w14:paraId="3D6057C3" w14:textId="6E772E77" w:rsidR="005B5A8A" w:rsidRPr="00487553" w:rsidRDefault="00DB693D"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基金份额净值的计算，精确到0.0001元，小数点第五位四舍五入。国家另有规定的，从其规定。</w:t>
      </w:r>
    </w:p>
    <w:p w14:paraId="34139BB2"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5" w:name="_Toc20148470"/>
      <w:r w:rsidRPr="00487553">
        <w:rPr>
          <w:rFonts w:asciiTheme="minorEastAsia" w:eastAsiaTheme="minorEastAsia" w:hAnsiTheme="minorEastAsia" w:hint="eastAsia"/>
        </w:rPr>
        <w:t>估值错误的处理</w:t>
      </w:r>
      <w:bookmarkEnd w:id="635"/>
    </w:p>
    <w:p w14:paraId="6F48DCEB" w14:textId="77777777" w:rsidR="00FC199C" w:rsidRPr="00487553" w:rsidRDefault="00D41B26"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1、</w:t>
      </w:r>
      <w:r w:rsidR="00FC199C" w:rsidRPr="00487553">
        <w:rPr>
          <w:rFonts w:asciiTheme="minorEastAsia" w:eastAsiaTheme="minorEastAsia" w:hAnsiTheme="minorEastAsia" w:hint="eastAsia"/>
          <w:szCs w:val="21"/>
        </w:rPr>
        <w:t>基金管理人和基金托管人应采取必要、适当、合理的措施确保基金财产估值的准确性、及时性。当基金份额净值计算差错达到基金份额净值的</w:t>
      </w:r>
      <w:r w:rsidR="00FC199C" w:rsidRPr="00487553">
        <w:rPr>
          <w:rFonts w:asciiTheme="minorEastAsia" w:eastAsiaTheme="minorEastAsia" w:hAnsiTheme="minorEastAsia"/>
          <w:szCs w:val="21"/>
        </w:rPr>
        <w:t>0.5%</w:t>
      </w:r>
      <w:r w:rsidR="00FC199C" w:rsidRPr="00487553">
        <w:rPr>
          <w:rFonts w:asciiTheme="minorEastAsia" w:eastAsiaTheme="minorEastAsia" w:hAnsiTheme="minorEastAsia" w:hint="eastAsia"/>
          <w:szCs w:val="21"/>
        </w:rPr>
        <w:t>时，基金管理人应当立即纠正，并采取合理的措施防止损失进一步扩大。当基金份额净值计算差错小于基金份额净值</w:t>
      </w:r>
      <w:r w:rsidR="00FC199C" w:rsidRPr="00487553">
        <w:rPr>
          <w:rFonts w:asciiTheme="minorEastAsia" w:eastAsiaTheme="minorEastAsia" w:hAnsiTheme="minorEastAsia"/>
          <w:szCs w:val="21"/>
        </w:rPr>
        <w:t>0.5%</w:t>
      </w:r>
      <w:r w:rsidR="00FC199C" w:rsidRPr="00487553">
        <w:rPr>
          <w:rFonts w:asciiTheme="minorEastAsia" w:eastAsiaTheme="minorEastAsia" w:hAnsiTheme="minorEastAsia" w:hint="eastAsia"/>
          <w:szCs w:val="21"/>
        </w:rPr>
        <w:t>时，基金管理人与基金托管人应在发现日对账务进行更正调整，不做追溯处理。当基金管理人将其义务委托第三方处理时，应当对第三方处理有关基金事务的行为承担责任。</w:t>
      </w:r>
    </w:p>
    <w:p w14:paraId="59501ABB" w14:textId="77777777" w:rsidR="00FC199C" w:rsidRPr="00487553" w:rsidRDefault="00D41B26"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2、</w:t>
      </w:r>
      <w:r w:rsidR="00FC199C" w:rsidRPr="00487553">
        <w:rPr>
          <w:rFonts w:asciiTheme="minorEastAsia" w:eastAsiaTheme="minorEastAsia" w:hAnsiTheme="minorEastAsia" w:hint="eastAsia"/>
          <w:szCs w:val="21"/>
        </w:rPr>
        <w:t>差错类型</w:t>
      </w:r>
    </w:p>
    <w:p w14:paraId="711E5F68" w14:textId="77777777" w:rsidR="00FC199C" w:rsidRPr="00487553" w:rsidRDefault="00FC199C"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本基金运作过程中，如果由于基金管理人、基金托管人、注册登记机构、代理销售机构或投资者自身的原因造成差错，导致其他当事人遭受损失的，责任人应当对由于该差错遭受损失的当事人（“受损方”）按下述“差错处理原则”给予赔偿。</w:t>
      </w:r>
    </w:p>
    <w:p w14:paraId="353F1311" w14:textId="77777777" w:rsidR="00FC199C" w:rsidRPr="00487553" w:rsidRDefault="00FC199C"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上述差错的主要类型包括但不限于：资料申报差错、数据传输差错、数据计算差错、系统故障差错、下达指令差错等；对于因技术原因引起的差错，若系同行业现有技术水平无法预见、无法避免、无法</w:t>
      </w:r>
      <w:r w:rsidR="000278CD" w:rsidRPr="00487553">
        <w:rPr>
          <w:rFonts w:asciiTheme="minorEastAsia" w:eastAsiaTheme="minorEastAsia" w:hAnsiTheme="minorEastAsia" w:hint="eastAsia"/>
          <w:szCs w:val="21"/>
        </w:rPr>
        <w:t>克服</w:t>
      </w:r>
      <w:r w:rsidRPr="00487553">
        <w:rPr>
          <w:rFonts w:asciiTheme="minorEastAsia" w:eastAsiaTheme="minorEastAsia" w:hAnsiTheme="minorEastAsia" w:hint="eastAsia"/>
          <w:szCs w:val="21"/>
        </w:rPr>
        <w:t>，则属不可抗力。</w:t>
      </w:r>
    </w:p>
    <w:p w14:paraId="4FCB376F" w14:textId="77777777" w:rsidR="00FC199C" w:rsidRPr="00487553" w:rsidRDefault="00FC199C"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由于不可抗力原因造成投资者的交易资料灭失、被错误处理或造成其他差错，因不可抗力原因出现差错的当事人不对其他当事人承担赔偿责任，但因该差错取得不当得利的当事人仍应负有返还不当得利的义务。</w:t>
      </w:r>
    </w:p>
    <w:p w14:paraId="421A895F" w14:textId="77777777" w:rsidR="00FC199C" w:rsidRPr="00487553" w:rsidRDefault="00D41B26"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3、</w:t>
      </w:r>
      <w:r w:rsidR="00FC199C" w:rsidRPr="00487553">
        <w:rPr>
          <w:rFonts w:asciiTheme="minorEastAsia" w:eastAsiaTheme="minorEastAsia" w:hAnsiTheme="minorEastAsia" w:hint="eastAsia"/>
          <w:szCs w:val="21"/>
        </w:rPr>
        <w:t>差错处理原则</w:t>
      </w:r>
    </w:p>
    <w:p w14:paraId="0F14D882" w14:textId="77777777" w:rsidR="00FC199C" w:rsidRPr="00487553" w:rsidRDefault="00FC199C"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因基金估值错误给投资者造成损失的应由基金管理人对基金份额持有人或者基金先行</w:t>
      </w:r>
      <w:r w:rsidR="002A43D5" w:rsidRPr="00487553">
        <w:rPr>
          <w:rFonts w:asciiTheme="minorEastAsia" w:eastAsiaTheme="minorEastAsia" w:hAnsiTheme="minorEastAsia" w:hint="eastAsia"/>
          <w:szCs w:val="21"/>
        </w:rPr>
        <w:t>支付赔偿金。基金管理人对不应由其承担的责任，有权向责任人追偿。</w:t>
      </w:r>
      <w:r w:rsidRPr="00487553">
        <w:rPr>
          <w:rFonts w:asciiTheme="minorEastAsia" w:eastAsiaTheme="minorEastAsia" w:hAnsiTheme="minorEastAsia" w:hint="eastAsia"/>
          <w:szCs w:val="21"/>
        </w:rPr>
        <w:t>基金合同的当事人应将按照以下约定的原则处理基金估值差错。</w:t>
      </w:r>
    </w:p>
    <w:p w14:paraId="2DC2A248" w14:textId="77777777" w:rsidR="00FC199C" w:rsidRPr="00487553" w:rsidRDefault="00D41B26" w:rsidP="00D94E68">
      <w:pPr>
        <w:snapToGrid w:val="0"/>
        <w:spacing w:line="360" w:lineRule="auto"/>
        <w:ind w:firstLine="420"/>
        <w:rPr>
          <w:rFonts w:asciiTheme="minorEastAsia" w:eastAsiaTheme="minorEastAsia" w:hAnsiTheme="minorEastAsia"/>
          <w:szCs w:val="21"/>
        </w:rPr>
      </w:pPr>
      <w:r w:rsidRPr="00487553">
        <w:rPr>
          <w:rFonts w:asciiTheme="minorEastAsia" w:eastAsiaTheme="minorEastAsia" w:hAnsiTheme="minorEastAsia" w:hint="eastAsia"/>
          <w:szCs w:val="21"/>
        </w:rPr>
        <w:t>（</w:t>
      </w:r>
      <w:r w:rsidR="00FC199C" w:rsidRPr="00487553">
        <w:rPr>
          <w:rFonts w:asciiTheme="minorEastAsia" w:eastAsiaTheme="minorEastAsia" w:hAnsiTheme="minorEastAsia" w:hint="eastAsia"/>
          <w:szCs w:val="21"/>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由此造成或扩大的损失由差错责任方和未更正方依法分别各自承担相应的赔偿责任。差错责任方应对更正的情况向有关当事人进行确认，确保差错已得到更正；</w:t>
      </w:r>
    </w:p>
    <w:p w14:paraId="1ED880B2"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2）差错的责任方对可能导致有关当事人的直接损失负责，不对间接损失负责，并且仅对差错的有关直接当事人负责，不对第三方负责；</w:t>
      </w:r>
    </w:p>
    <w:p w14:paraId="72CDECA6"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3）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60FCA127"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4）差错调整采用尽量恢复至假设未发生差错的正确情形的方式；</w:t>
      </w:r>
    </w:p>
    <w:p w14:paraId="56BF30F4"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5）如果因基金管理人原因造成基金财产损失时，基金托管人应为基金的利益向基金管理人追偿，如果因基金托管人原因造成基金财产损失时，基金管理人应为基金的利益向基金托管人追偿。除基金管理人和托管人之外的第三方造成基金财产的损失，由基金管理人负责向差错方追偿；</w:t>
      </w:r>
    </w:p>
    <w:p w14:paraId="7FC5EE08"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6）如果出现</w:t>
      </w:r>
      <w:r w:rsidR="002A43D5" w:rsidRPr="00487553">
        <w:rPr>
          <w:rFonts w:asciiTheme="minorEastAsia" w:eastAsiaTheme="minorEastAsia" w:hAnsiTheme="minorEastAsia" w:hint="eastAsia"/>
          <w:kern w:val="0"/>
          <w:szCs w:val="21"/>
        </w:rPr>
        <w:t>差错的当事人未按规定对受损方进行赔偿，并且依据法律、行政法规、</w:t>
      </w:r>
      <w:r w:rsidR="00FC199C" w:rsidRPr="00487553">
        <w:rPr>
          <w:rFonts w:asciiTheme="minorEastAsia" w:eastAsiaTheme="minorEastAsia" w:hAnsiTheme="minorEastAsia" w:hint="eastAsia"/>
          <w:kern w:val="0"/>
          <w:szCs w:val="21"/>
        </w:rPr>
        <w:t>基金合同或其他规定，基金管理人或基金托管人自行或依据法院判决、仲裁裁决对受损方</w:t>
      </w:r>
      <w:r w:rsidR="00FC199C" w:rsidRPr="00487553">
        <w:rPr>
          <w:rFonts w:asciiTheme="minorEastAsia" w:eastAsiaTheme="minorEastAsia" w:hAnsiTheme="minorEastAsia" w:hint="eastAsia"/>
          <w:kern w:val="0"/>
          <w:szCs w:val="21"/>
        </w:rPr>
        <w:lastRenderedPageBreak/>
        <w:t>承担了赔偿责任，则基金管理人或基金托管人有权向出现差错的当事人进行追索，并有权要求其赔偿或补偿由此发生的费用和遭受的损失；</w:t>
      </w:r>
    </w:p>
    <w:p w14:paraId="6749B099"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7）按法律法规规定的其他原则处理差错。</w:t>
      </w:r>
    </w:p>
    <w:p w14:paraId="1108DBFD"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w:t>
      </w:r>
      <w:r w:rsidR="00FC199C" w:rsidRPr="00487553">
        <w:rPr>
          <w:rFonts w:asciiTheme="minorEastAsia" w:eastAsiaTheme="minorEastAsia" w:hAnsiTheme="minorEastAsia" w:hint="eastAsia"/>
          <w:kern w:val="0"/>
          <w:szCs w:val="21"/>
        </w:rPr>
        <w:t>差错处理程序</w:t>
      </w:r>
    </w:p>
    <w:p w14:paraId="1BEC3CCC" w14:textId="77777777" w:rsidR="00FC199C" w:rsidRPr="00487553" w:rsidRDefault="00FC199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差错被发现后，有关的当事人应当及时进行处理，处理的程序如下：</w:t>
      </w:r>
    </w:p>
    <w:p w14:paraId="50E52750"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1）查明差错发生的原因，列明所有当事人，根据差错发生的原因确定差错责任方；</w:t>
      </w:r>
    </w:p>
    <w:p w14:paraId="022213AA"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2）根据差错处理原则或当事人协商的方法对因差错造成的损失进行评估；</w:t>
      </w:r>
    </w:p>
    <w:p w14:paraId="70590DF0"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3）根据差错处理原则或当事人协商的方法由差错的责任方进行更正和赔偿损失；</w:t>
      </w:r>
    </w:p>
    <w:p w14:paraId="23789E56"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4）根据差错处理的方法，需要修改基金注册登记机构的交易数据的，由基金注册登记机构进行更正，并就差错的更正向有关当事人进行确认；</w:t>
      </w:r>
    </w:p>
    <w:p w14:paraId="655F143E" w14:textId="77777777" w:rsidR="00FC199C" w:rsidRPr="00487553" w:rsidRDefault="00D41B2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FC199C" w:rsidRPr="00487553">
        <w:rPr>
          <w:rFonts w:asciiTheme="minorEastAsia" w:eastAsiaTheme="minorEastAsia" w:hAnsiTheme="minorEastAsia" w:hint="eastAsia"/>
          <w:kern w:val="0"/>
          <w:szCs w:val="21"/>
        </w:rPr>
        <w:t>5）基金管理人及基金托管人计价错误达到基金份额净值的</w:t>
      </w:r>
      <w:r w:rsidR="00FC199C" w:rsidRPr="00487553">
        <w:rPr>
          <w:rFonts w:asciiTheme="minorEastAsia" w:eastAsiaTheme="minorEastAsia" w:hAnsiTheme="minorEastAsia"/>
          <w:kern w:val="0"/>
          <w:szCs w:val="21"/>
        </w:rPr>
        <w:t>0.5%</w:t>
      </w:r>
      <w:r w:rsidR="002A43D5" w:rsidRPr="00487553">
        <w:rPr>
          <w:rFonts w:asciiTheme="minorEastAsia" w:eastAsiaTheme="minorEastAsia" w:hAnsiTheme="minorEastAsia" w:hint="eastAsia"/>
          <w:kern w:val="0"/>
          <w:szCs w:val="21"/>
        </w:rPr>
        <w:t>时，基金管理人应通报基金托管人，按</w:t>
      </w:r>
      <w:r w:rsidR="00FC199C" w:rsidRPr="00487553">
        <w:rPr>
          <w:rFonts w:asciiTheme="minorEastAsia" w:eastAsiaTheme="minorEastAsia" w:hAnsiTheme="minorEastAsia" w:hint="eastAsia"/>
          <w:kern w:val="0"/>
          <w:szCs w:val="21"/>
        </w:rPr>
        <w:t>基金合同的规定进行公告，并报中国证监会备案。</w:t>
      </w:r>
    </w:p>
    <w:p w14:paraId="0B9887E9" w14:textId="77777777" w:rsidR="005B5A8A" w:rsidRPr="00487553" w:rsidRDefault="005B5A8A" w:rsidP="00D94E68">
      <w:pPr>
        <w:pStyle w:val="2"/>
        <w:numPr>
          <w:ilvl w:val="0"/>
          <w:numId w:val="49"/>
        </w:numPr>
        <w:snapToGrid w:val="0"/>
        <w:spacing w:beforeLines="0" w:afterLines="0" w:line="360" w:lineRule="auto"/>
        <w:ind w:firstLineChars="0"/>
        <w:rPr>
          <w:rFonts w:asciiTheme="minorEastAsia" w:eastAsiaTheme="minorEastAsia" w:hAnsiTheme="minorEastAsia"/>
        </w:rPr>
      </w:pPr>
      <w:bookmarkStart w:id="636" w:name="_Toc308697560"/>
      <w:bookmarkStart w:id="637" w:name="_Toc309286082"/>
      <w:bookmarkStart w:id="638" w:name="_Toc308697561"/>
      <w:bookmarkStart w:id="639" w:name="_Toc309286083"/>
      <w:bookmarkStart w:id="640" w:name="_Toc308697562"/>
      <w:bookmarkStart w:id="641" w:name="_Toc309286084"/>
      <w:bookmarkStart w:id="642" w:name="_Toc20148471"/>
      <w:bookmarkEnd w:id="636"/>
      <w:bookmarkEnd w:id="637"/>
      <w:bookmarkEnd w:id="638"/>
      <w:bookmarkEnd w:id="639"/>
      <w:bookmarkEnd w:id="640"/>
      <w:bookmarkEnd w:id="641"/>
      <w:r w:rsidRPr="00487553">
        <w:rPr>
          <w:rFonts w:asciiTheme="minorEastAsia" w:eastAsiaTheme="minorEastAsia" w:hAnsiTheme="minorEastAsia" w:hint="eastAsia"/>
        </w:rPr>
        <w:t>特殊情形的处理</w:t>
      </w:r>
      <w:bookmarkEnd w:id="642"/>
    </w:p>
    <w:p w14:paraId="75A2B302" w14:textId="77777777" w:rsidR="00FC199C" w:rsidRPr="00487553" w:rsidRDefault="00FC199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（1）基金管理人按本条第（四）项第9条款进行估值时，所造成的误差不作为基金份额净值错误处理。</w:t>
      </w:r>
    </w:p>
    <w:p w14:paraId="7DBA4ADC" w14:textId="77777777" w:rsidR="006F3154" w:rsidRPr="00487553" w:rsidRDefault="00FC199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6F3154" w:rsidRPr="00487553">
        <w:rPr>
          <w:rFonts w:asciiTheme="minorEastAsia" w:eastAsiaTheme="minorEastAsia" w:hAnsiTheme="minorEastAsia" w:hint="eastAsia"/>
          <w:kern w:val="0"/>
          <w:szCs w:val="21"/>
        </w:rPr>
        <w:t>由于不可抗力原因或会计制度变化，或由于独立信息服务商、交易市场、指数公司、交易对手、证券交易所或登记结算公司等第三方机构发送的数据错误，基金管理人和基金托管人虽然已经采取必要、适当、合理的措施进行检查，但未能发现错误的，由此造成的基金财产估值错误，基金管理人和基金托管人可以免除赔偿责任。但基金管理人应当积极采取必要的措施消除由此造成的影响。</w:t>
      </w:r>
    </w:p>
    <w:p w14:paraId="6ED6D2EE" w14:textId="77777777" w:rsidR="005B5A8A" w:rsidRPr="00487553" w:rsidRDefault="00FC199C"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（3）对于因税收规定调整或其他原因导致基金实际交纳税金与基金按照权责发生制进行估值的应交税金有差异的，相关估值调整不作为基金资产估值错误处理。</w:t>
      </w:r>
    </w:p>
    <w:p w14:paraId="4266DBCA" w14:textId="6D3E76D3"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643" w:name="_Toc44229106"/>
      <w:bookmarkStart w:id="644" w:name="_Toc44229201"/>
      <w:bookmarkStart w:id="645" w:name="_Toc44229107"/>
      <w:bookmarkStart w:id="646" w:name="_Toc44229202"/>
      <w:bookmarkStart w:id="647" w:name="_Toc44229108"/>
      <w:bookmarkStart w:id="648" w:name="_Toc44229203"/>
      <w:bookmarkStart w:id="649" w:name="_Toc44229109"/>
      <w:bookmarkStart w:id="650" w:name="_Toc44229204"/>
      <w:bookmarkStart w:id="651" w:name="_Toc44229110"/>
      <w:bookmarkStart w:id="652" w:name="_Toc44229205"/>
      <w:bookmarkStart w:id="653" w:name="_Toc44229111"/>
      <w:bookmarkStart w:id="654" w:name="_Toc44229206"/>
      <w:bookmarkStart w:id="655" w:name="_Toc44229112"/>
      <w:bookmarkStart w:id="656" w:name="_Toc44229207"/>
      <w:bookmarkStart w:id="657" w:name="_Toc44229113"/>
      <w:bookmarkStart w:id="658" w:name="_Toc44229208"/>
      <w:bookmarkStart w:id="659" w:name="_Toc185222016"/>
      <w:bookmarkStart w:id="660" w:name="_Toc185222488"/>
      <w:bookmarkStart w:id="661" w:name="_Toc185222591"/>
      <w:bookmarkStart w:id="662" w:name="_Toc185222757"/>
      <w:bookmarkStart w:id="663" w:name="_Toc20148472"/>
      <w:bookmarkEnd w:id="626"/>
      <w:bookmarkEnd w:id="627"/>
      <w:bookmarkEnd w:id="62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7553">
        <w:rPr>
          <w:rFonts w:asciiTheme="minorEastAsia" w:eastAsiaTheme="minorEastAsia" w:hAnsiTheme="minorEastAsia"/>
        </w:rPr>
        <w:lastRenderedPageBreak/>
        <w:t>基金的收益与分配</w:t>
      </w:r>
      <w:bookmarkEnd w:id="663"/>
    </w:p>
    <w:p w14:paraId="7F0A9A70"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64" w:name="_Toc20148473"/>
      <w:bookmarkStart w:id="665" w:name="_Toc84149664"/>
      <w:bookmarkStart w:id="666" w:name="_Toc86584639"/>
      <w:r w:rsidRPr="00487553">
        <w:rPr>
          <w:rFonts w:asciiTheme="minorEastAsia" w:eastAsiaTheme="minorEastAsia" w:hAnsiTheme="minorEastAsia"/>
        </w:rPr>
        <w:t>基金利润的构成</w:t>
      </w:r>
      <w:bookmarkEnd w:id="664"/>
    </w:p>
    <w:p w14:paraId="54D3B485" w14:textId="77777777" w:rsidR="00AD026B" w:rsidRPr="00487553" w:rsidRDefault="002A6654"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基金利润指基金利息收入、投资收益、公允价值变动收益和其他收入扣除相关费用后的余额；基金已实现收益指基金利润减去公允价值变动收益后的余额。</w:t>
      </w:r>
    </w:p>
    <w:p w14:paraId="58C139A4"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67" w:name="_Toc20148474"/>
      <w:r w:rsidRPr="00487553">
        <w:rPr>
          <w:rFonts w:asciiTheme="minorEastAsia" w:eastAsiaTheme="minorEastAsia" w:hAnsiTheme="minorEastAsia"/>
        </w:rPr>
        <w:t>基金可供分配利润</w:t>
      </w:r>
      <w:bookmarkEnd w:id="667"/>
    </w:p>
    <w:p w14:paraId="07CD34EE" w14:textId="77777777" w:rsidR="00AD026B" w:rsidRPr="00487553" w:rsidRDefault="002A6654"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基金可供分配利润指截至收益分配基准日基金未分配利润与未分配利润中已实现收益的孰低数。</w:t>
      </w:r>
    </w:p>
    <w:p w14:paraId="66743499"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68" w:name="_Toc20148475"/>
      <w:r w:rsidRPr="00487553">
        <w:rPr>
          <w:rFonts w:asciiTheme="minorEastAsia" w:eastAsiaTheme="minorEastAsia" w:hAnsiTheme="minorEastAsia"/>
        </w:rPr>
        <w:t>基金收益分配原则</w:t>
      </w:r>
      <w:bookmarkEnd w:id="668"/>
    </w:p>
    <w:p w14:paraId="1312BCE2" w14:textId="77777777" w:rsidR="002A6654"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本基金收益分配应遵循下列原则：</w:t>
      </w:r>
    </w:p>
    <w:p w14:paraId="50E4E1C6" w14:textId="77777777" w:rsidR="00C724EA" w:rsidRPr="00487553" w:rsidRDefault="002A6654" w:rsidP="00C724EA">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00221C22" w:rsidRPr="00487553">
        <w:rPr>
          <w:rFonts w:asciiTheme="minorEastAsia" w:eastAsiaTheme="minorEastAsia" w:hAnsiTheme="minorEastAsia" w:hint="eastAsia"/>
          <w:szCs w:val="21"/>
        </w:rPr>
        <w:t>本基金</w:t>
      </w:r>
      <w:r w:rsidR="00221C22" w:rsidRPr="00487553">
        <w:rPr>
          <w:rFonts w:asciiTheme="minorEastAsia" w:eastAsiaTheme="minorEastAsia" w:hAnsiTheme="minorEastAsia"/>
          <w:szCs w:val="21"/>
        </w:rPr>
        <w:t>A类基金份额</w:t>
      </w:r>
      <w:r w:rsidR="00221C22" w:rsidRPr="00487553">
        <w:rPr>
          <w:rFonts w:asciiTheme="minorEastAsia" w:eastAsiaTheme="minorEastAsia" w:hAnsiTheme="minorEastAsia" w:hint="eastAsia"/>
          <w:szCs w:val="21"/>
        </w:rPr>
        <w:t>与</w:t>
      </w:r>
      <w:r w:rsidR="00221C22" w:rsidRPr="00487553">
        <w:rPr>
          <w:rFonts w:asciiTheme="minorEastAsia" w:eastAsiaTheme="minorEastAsia" w:hAnsiTheme="minorEastAsia"/>
          <w:szCs w:val="21"/>
        </w:rPr>
        <w:t>C类基金份额</w:t>
      </w:r>
      <w:r w:rsidR="00221C22" w:rsidRPr="00487553">
        <w:rPr>
          <w:rFonts w:asciiTheme="minorEastAsia" w:eastAsiaTheme="minorEastAsia" w:hAnsiTheme="minorEastAsia" w:hint="eastAsia"/>
          <w:szCs w:val="21"/>
        </w:rPr>
        <w:t>在费用收取上不同，其对应的可分配收益可能有所不同。同</w:t>
      </w:r>
      <w:r w:rsidR="00221C22" w:rsidRPr="00487553">
        <w:rPr>
          <w:rFonts w:asciiTheme="minorEastAsia" w:eastAsiaTheme="minorEastAsia" w:hAnsiTheme="minorEastAsia"/>
          <w:szCs w:val="21"/>
        </w:rPr>
        <w:t>一类别的</w:t>
      </w:r>
      <w:r w:rsidRPr="00487553">
        <w:rPr>
          <w:rFonts w:asciiTheme="minorEastAsia" w:eastAsiaTheme="minorEastAsia" w:hAnsiTheme="minorEastAsia"/>
          <w:szCs w:val="21"/>
        </w:rPr>
        <w:t>每</w:t>
      </w:r>
      <w:r w:rsidRPr="00487553">
        <w:rPr>
          <w:rFonts w:asciiTheme="minorEastAsia" w:eastAsiaTheme="minorEastAsia" w:hAnsiTheme="minorEastAsia" w:hint="eastAsia"/>
          <w:szCs w:val="21"/>
        </w:rPr>
        <w:t>一</w:t>
      </w:r>
      <w:r w:rsidRPr="00487553">
        <w:rPr>
          <w:rFonts w:asciiTheme="minorEastAsia" w:eastAsiaTheme="minorEastAsia" w:hAnsiTheme="minorEastAsia"/>
          <w:szCs w:val="21"/>
        </w:rPr>
        <w:t>基</w:t>
      </w:r>
      <w:r w:rsidRPr="00487553">
        <w:rPr>
          <w:rFonts w:asciiTheme="minorEastAsia" w:eastAsiaTheme="minorEastAsia" w:hAnsiTheme="minorEastAsia"/>
          <w:kern w:val="0"/>
          <w:szCs w:val="21"/>
        </w:rPr>
        <w:t>金份额享有同等分配权</w:t>
      </w:r>
      <w:r w:rsidR="000D3F61" w:rsidRPr="00487553">
        <w:rPr>
          <w:rFonts w:asciiTheme="minorEastAsia" w:eastAsiaTheme="minorEastAsia" w:hAnsiTheme="minorEastAsia" w:hint="eastAsia"/>
          <w:kern w:val="0"/>
          <w:szCs w:val="21"/>
        </w:rPr>
        <w:t>。</w:t>
      </w:r>
    </w:p>
    <w:p w14:paraId="77B64131" w14:textId="77777777" w:rsidR="000D3F61" w:rsidRPr="00487553" w:rsidRDefault="002A6654" w:rsidP="00C724EA">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0D3F61" w:rsidRPr="00487553">
        <w:rPr>
          <w:rFonts w:asciiTheme="minorEastAsia" w:eastAsiaTheme="minorEastAsia" w:hAnsiTheme="minorEastAsia" w:hint="eastAsia"/>
          <w:szCs w:val="21"/>
        </w:rPr>
        <w:t>基金收益分配基准日的人民币份额基金份额净值减去每单位基金份额收益分配金额后不能低于人民币份额面值；对于外币份额，由于汇率因素影响，存在收益分配后外币份额基金份额净值低于对应的基金份额面值的可能。</w:t>
      </w:r>
    </w:p>
    <w:p w14:paraId="25EFF3F5" w14:textId="77777777" w:rsidR="00271F2A"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3、在符合有关基金分红条件的前提下，</w:t>
      </w:r>
      <w:r w:rsidRPr="00487553">
        <w:rPr>
          <w:rFonts w:asciiTheme="minorEastAsia" w:eastAsiaTheme="minorEastAsia" w:hAnsiTheme="minorEastAsia"/>
          <w:kern w:val="0"/>
          <w:szCs w:val="21"/>
        </w:rPr>
        <w:t>本基金</w:t>
      </w:r>
      <w:r w:rsidRPr="00487553">
        <w:rPr>
          <w:rFonts w:asciiTheme="minorEastAsia" w:eastAsiaTheme="minorEastAsia" w:hAnsiTheme="minorEastAsia" w:hint="eastAsia"/>
          <w:kern w:val="0"/>
          <w:szCs w:val="21"/>
        </w:rPr>
        <w:t>每年</w:t>
      </w:r>
      <w:r w:rsidRPr="00487553">
        <w:rPr>
          <w:rFonts w:asciiTheme="minorEastAsia" w:eastAsiaTheme="minorEastAsia" w:hAnsiTheme="minorEastAsia"/>
          <w:kern w:val="0"/>
          <w:szCs w:val="21"/>
        </w:rPr>
        <w:t>收益分配</w:t>
      </w:r>
      <w:r w:rsidRPr="00487553">
        <w:rPr>
          <w:rFonts w:asciiTheme="minorEastAsia" w:eastAsiaTheme="minorEastAsia" w:hAnsiTheme="minorEastAsia" w:hint="eastAsia"/>
          <w:kern w:val="0"/>
          <w:szCs w:val="21"/>
        </w:rPr>
        <w:t>次数最多为12</w:t>
      </w:r>
      <w:r w:rsidRPr="00487553">
        <w:rPr>
          <w:rFonts w:asciiTheme="minorEastAsia" w:eastAsiaTheme="minorEastAsia" w:hAnsiTheme="minorEastAsia"/>
          <w:kern w:val="0"/>
          <w:szCs w:val="21"/>
        </w:rPr>
        <w:t>次，</w:t>
      </w:r>
      <w:r w:rsidRPr="00487553">
        <w:rPr>
          <w:rFonts w:asciiTheme="minorEastAsia" w:eastAsiaTheme="minorEastAsia" w:hAnsiTheme="minorEastAsia" w:hint="eastAsia"/>
          <w:kern w:val="0"/>
          <w:szCs w:val="21"/>
        </w:rPr>
        <w:t>每份基金份额</w:t>
      </w:r>
      <w:r w:rsidRPr="00487553">
        <w:rPr>
          <w:rFonts w:asciiTheme="minorEastAsia" w:eastAsiaTheme="minorEastAsia" w:hAnsiTheme="minorEastAsia"/>
          <w:kern w:val="0"/>
          <w:szCs w:val="21"/>
        </w:rPr>
        <w:t>每次收益分配比例不低于收益分配基准日</w:t>
      </w:r>
      <w:r w:rsidRPr="00487553">
        <w:rPr>
          <w:rFonts w:asciiTheme="minorEastAsia" w:eastAsiaTheme="minorEastAsia" w:hAnsiTheme="minorEastAsia" w:hint="eastAsia"/>
          <w:kern w:val="0"/>
          <w:szCs w:val="21"/>
        </w:rPr>
        <w:t>每份基金份额</w:t>
      </w:r>
      <w:r w:rsidRPr="00487553">
        <w:rPr>
          <w:rFonts w:asciiTheme="minorEastAsia" w:eastAsiaTheme="minorEastAsia" w:hAnsiTheme="minorEastAsia"/>
          <w:kern w:val="0"/>
          <w:szCs w:val="21"/>
        </w:rPr>
        <w:t>可供分配利润的10%</w:t>
      </w:r>
      <w:r w:rsidR="00B95032" w:rsidRPr="00487553">
        <w:rPr>
          <w:rFonts w:asciiTheme="minorEastAsia" w:eastAsiaTheme="minorEastAsia" w:hAnsiTheme="minorEastAsia" w:hint="eastAsia"/>
          <w:kern w:val="0"/>
          <w:szCs w:val="21"/>
        </w:rPr>
        <w:t>；</w:t>
      </w:r>
      <w:r w:rsidR="00221C22" w:rsidRPr="00487553">
        <w:rPr>
          <w:rFonts w:asciiTheme="minorEastAsia" w:eastAsiaTheme="minorEastAsia" w:hAnsiTheme="minorEastAsia"/>
          <w:kern w:val="0"/>
          <w:szCs w:val="21"/>
        </w:rPr>
        <w:t>A类</w:t>
      </w:r>
      <w:r w:rsidR="00271F2A" w:rsidRPr="00487553">
        <w:rPr>
          <w:rFonts w:asciiTheme="minorEastAsia" w:eastAsiaTheme="minorEastAsia" w:hAnsiTheme="minorEastAsia" w:hint="eastAsia"/>
          <w:kern w:val="0"/>
          <w:szCs w:val="21"/>
        </w:rPr>
        <w:t>美元基金份额的每份额分配金额为</w:t>
      </w:r>
      <w:r w:rsidR="00221C22" w:rsidRPr="00487553">
        <w:rPr>
          <w:rFonts w:asciiTheme="minorEastAsia" w:eastAsiaTheme="minorEastAsia" w:hAnsiTheme="minorEastAsia"/>
          <w:kern w:val="0"/>
          <w:szCs w:val="21"/>
        </w:rPr>
        <w:t>A类</w:t>
      </w:r>
      <w:r w:rsidR="00271F2A" w:rsidRPr="00487553">
        <w:rPr>
          <w:rFonts w:asciiTheme="minorEastAsia" w:eastAsiaTheme="minorEastAsia" w:hAnsiTheme="minorEastAsia" w:hint="eastAsia"/>
          <w:kern w:val="0"/>
          <w:szCs w:val="21"/>
        </w:rPr>
        <w:t>人民币</w:t>
      </w:r>
      <w:r w:rsidR="00221C22" w:rsidRPr="00487553">
        <w:rPr>
          <w:rFonts w:asciiTheme="minorEastAsia" w:eastAsiaTheme="minorEastAsia" w:hAnsiTheme="minorEastAsia" w:hint="eastAsia"/>
          <w:kern w:val="0"/>
          <w:szCs w:val="21"/>
        </w:rPr>
        <w:t>基金</w:t>
      </w:r>
      <w:r w:rsidR="00271F2A" w:rsidRPr="00487553">
        <w:rPr>
          <w:rFonts w:asciiTheme="minorEastAsia" w:eastAsiaTheme="minorEastAsia" w:hAnsiTheme="minorEastAsia" w:hint="eastAsia"/>
          <w:kern w:val="0"/>
          <w:szCs w:val="21"/>
        </w:rPr>
        <w:t>份额的每份额分配数额按照权益登记日前一工作日</w:t>
      </w:r>
      <w:r w:rsidR="005F2D89" w:rsidRPr="00487553">
        <w:rPr>
          <w:rFonts w:asciiTheme="minorEastAsia" w:eastAsiaTheme="minorEastAsia" w:hAnsiTheme="minorEastAsia" w:hint="eastAsia"/>
          <w:kern w:val="0"/>
          <w:szCs w:val="21"/>
        </w:rPr>
        <w:t>美元估值汇率</w:t>
      </w:r>
      <w:r w:rsidR="00271F2A" w:rsidRPr="00487553">
        <w:rPr>
          <w:rFonts w:asciiTheme="minorEastAsia" w:eastAsiaTheme="minorEastAsia" w:hAnsiTheme="minorEastAsia" w:hint="eastAsia"/>
          <w:kern w:val="0"/>
          <w:szCs w:val="21"/>
        </w:rPr>
        <w:t>折算后的美元金额，计算结果以美元为单位，四舍五入，保留到小数点后四位</w:t>
      </w:r>
      <w:r w:rsidR="003E2E14" w:rsidRPr="00487553">
        <w:rPr>
          <w:rFonts w:asciiTheme="minorEastAsia" w:eastAsiaTheme="minorEastAsia" w:hAnsiTheme="minorEastAsia" w:hint="eastAsia"/>
          <w:kern w:val="0"/>
          <w:szCs w:val="21"/>
        </w:rPr>
        <w:t>，由此误差产生的损失由基金财产承担，产生的收益归基金财产所有</w:t>
      </w:r>
      <w:r w:rsidR="00B95032" w:rsidRPr="00487553">
        <w:rPr>
          <w:rFonts w:asciiTheme="minorEastAsia" w:eastAsiaTheme="minorEastAsia" w:hAnsiTheme="minorEastAsia" w:hint="eastAsia"/>
          <w:kern w:val="0"/>
          <w:szCs w:val="21"/>
        </w:rPr>
        <w:t>。</w:t>
      </w:r>
    </w:p>
    <w:p w14:paraId="016EBAED" w14:textId="77777777" w:rsidR="002A6654"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4、基金收益分配方式分为现金分红与红利再投资，</w:t>
      </w:r>
      <w:r w:rsidR="00CF0702" w:rsidRPr="00487553">
        <w:rPr>
          <w:rFonts w:asciiTheme="minorEastAsia" w:eastAsiaTheme="minorEastAsia" w:hAnsiTheme="minorEastAsia" w:hint="eastAsia"/>
          <w:kern w:val="0"/>
          <w:szCs w:val="21"/>
        </w:rPr>
        <w:t>投资者</w:t>
      </w:r>
      <w:r w:rsidR="000D3F61" w:rsidRPr="00487553">
        <w:rPr>
          <w:rFonts w:asciiTheme="minorEastAsia" w:eastAsiaTheme="minorEastAsia" w:hAnsiTheme="minorEastAsia" w:hint="eastAsia"/>
          <w:kern w:val="0"/>
          <w:szCs w:val="21"/>
        </w:rPr>
        <w:t>可选择现金红利或将现金红利自动转为</w:t>
      </w:r>
      <w:r w:rsidR="001B3E78" w:rsidRPr="00487553">
        <w:rPr>
          <w:rFonts w:asciiTheme="minorEastAsia" w:eastAsiaTheme="minorEastAsia" w:hAnsiTheme="minorEastAsia" w:hint="eastAsia"/>
          <w:kern w:val="0"/>
          <w:szCs w:val="21"/>
        </w:rPr>
        <w:t>对应类别的</w:t>
      </w:r>
      <w:r w:rsidR="000D3F61" w:rsidRPr="00487553">
        <w:rPr>
          <w:rFonts w:asciiTheme="minorEastAsia" w:eastAsiaTheme="minorEastAsia" w:hAnsiTheme="minorEastAsia" w:hint="eastAsia"/>
          <w:kern w:val="0"/>
          <w:szCs w:val="21"/>
        </w:rPr>
        <w:t>基金份额进行再投资；</w:t>
      </w:r>
      <w:r w:rsidRPr="00487553">
        <w:rPr>
          <w:rFonts w:asciiTheme="minorEastAsia" w:eastAsiaTheme="minorEastAsia" w:hAnsiTheme="minorEastAsia" w:hint="eastAsia"/>
          <w:kern w:val="0"/>
          <w:szCs w:val="21"/>
        </w:rPr>
        <w:t>基金份额持有人事先未做出选择的，默认的分红方式为现金分红</w:t>
      </w:r>
      <w:r w:rsidR="00B95032" w:rsidRPr="00487553">
        <w:rPr>
          <w:rFonts w:asciiTheme="minorEastAsia" w:eastAsiaTheme="minorEastAsia" w:hAnsiTheme="minorEastAsia" w:hint="eastAsia"/>
          <w:kern w:val="0"/>
          <w:szCs w:val="21"/>
        </w:rPr>
        <w:t>。</w:t>
      </w:r>
    </w:p>
    <w:p w14:paraId="1005BD10" w14:textId="77777777" w:rsidR="000278CD" w:rsidRPr="00487553" w:rsidRDefault="000278CD"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00130C68" w:rsidRPr="00487553">
        <w:rPr>
          <w:rFonts w:asciiTheme="minorEastAsia" w:eastAsiaTheme="minorEastAsia" w:hAnsiTheme="minorEastAsia" w:hint="eastAsia"/>
          <w:kern w:val="0"/>
          <w:szCs w:val="21"/>
        </w:rPr>
        <w:t>人民币基金份额现金分红为人民币，美元基金份额现金分红为美元。不同币种</w:t>
      </w:r>
      <w:r w:rsidR="00221C22" w:rsidRPr="00487553">
        <w:rPr>
          <w:rFonts w:asciiTheme="minorEastAsia" w:eastAsiaTheme="minorEastAsia" w:hAnsiTheme="minorEastAsia" w:hint="eastAsia"/>
          <w:kern w:val="0"/>
          <w:szCs w:val="21"/>
        </w:rPr>
        <w:t>不同</w:t>
      </w:r>
      <w:r w:rsidR="00130C68" w:rsidRPr="00487553">
        <w:rPr>
          <w:rFonts w:asciiTheme="minorEastAsia" w:eastAsiaTheme="minorEastAsia" w:hAnsiTheme="minorEastAsia" w:hint="eastAsia"/>
          <w:kern w:val="0"/>
          <w:szCs w:val="21"/>
        </w:rPr>
        <w:t>份额</w:t>
      </w:r>
      <w:r w:rsidR="00221C22" w:rsidRPr="00487553">
        <w:rPr>
          <w:rFonts w:asciiTheme="minorEastAsia" w:eastAsiaTheme="minorEastAsia" w:hAnsiTheme="minorEastAsia" w:hint="eastAsia"/>
          <w:kern w:val="0"/>
          <w:szCs w:val="21"/>
        </w:rPr>
        <w:t>类别</w:t>
      </w:r>
      <w:r w:rsidR="00130C68" w:rsidRPr="00487553">
        <w:rPr>
          <w:rFonts w:asciiTheme="minorEastAsia" w:eastAsiaTheme="minorEastAsia" w:hAnsiTheme="minorEastAsia" w:hint="eastAsia"/>
          <w:kern w:val="0"/>
          <w:szCs w:val="21"/>
        </w:rPr>
        <w:t>红利再投资适用的净值为该币种</w:t>
      </w:r>
      <w:r w:rsidR="00221C22" w:rsidRPr="00487553">
        <w:rPr>
          <w:rFonts w:asciiTheme="minorEastAsia" w:eastAsiaTheme="minorEastAsia" w:hAnsiTheme="minorEastAsia" w:hint="eastAsia"/>
          <w:kern w:val="0"/>
          <w:szCs w:val="21"/>
        </w:rPr>
        <w:t>该</w:t>
      </w:r>
      <w:r w:rsidR="00130C68" w:rsidRPr="00487553">
        <w:rPr>
          <w:rFonts w:asciiTheme="minorEastAsia" w:eastAsiaTheme="minorEastAsia" w:hAnsiTheme="minorEastAsia" w:hint="eastAsia"/>
          <w:kern w:val="0"/>
          <w:szCs w:val="21"/>
        </w:rPr>
        <w:t>份额</w:t>
      </w:r>
      <w:r w:rsidR="00221C22" w:rsidRPr="00487553">
        <w:rPr>
          <w:rFonts w:asciiTheme="minorEastAsia" w:eastAsiaTheme="minorEastAsia" w:hAnsiTheme="minorEastAsia" w:hint="eastAsia"/>
          <w:kern w:val="0"/>
          <w:szCs w:val="21"/>
        </w:rPr>
        <w:t>类别</w:t>
      </w:r>
      <w:r w:rsidR="00130C68" w:rsidRPr="00487553">
        <w:rPr>
          <w:rFonts w:asciiTheme="minorEastAsia" w:eastAsiaTheme="minorEastAsia" w:hAnsiTheme="minorEastAsia" w:hint="eastAsia"/>
          <w:kern w:val="0"/>
          <w:szCs w:val="21"/>
        </w:rPr>
        <w:t>的净值。</w:t>
      </w:r>
    </w:p>
    <w:p w14:paraId="4732D3AC" w14:textId="77777777" w:rsidR="00AD026B" w:rsidRPr="00487553" w:rsidRDefault="000278C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kern w:val="0"/>
          <w:szCs w:val="21"/>
        </w:rPr>
        <w:t>6、</w:t>
      </w:r>
      <w:r w:rsidR="002A6654" w:rsidRPr="00487553">
        <w:rPr>
          <w:rFonts w:asciiTheme="minorEastAsia" w:eastAsiaTheme="minorEastAsia" w:hAnsiTheme="minorEastAsia"/>
          <w:kern w:val="0"/>
          <w:szCs w:val="21"/>
        </w:rPr>
        <w:t>法律法规或监管机构另有规定的</w:t>
      </w:r>
      <w:r w:rsidR="002A6654" w:rsidRPr="00487553">
        <w:rPr>
          <w:rFonts w:asciiTheme="minorEastAsia" w:eastAsiaTheme="minorEastAsia" w:hAnsiTheme="minorEastAsia" w:hint="eastAsia"/>
          <w:kern w:val="0"/>
          <w:szCs w:val="21"/>
        </w:rPr>
        <w:t>，</w:t>
      </w:r>
      <w:r w:rsidR="002A6654" w:rsidRPr="00487553">
        <w:rPr>
          <w:rFonts w:asciiTheme="minorEastAsia" w:eastAsiaTheme="minorEastAsia" w:hAnsiTheme="minorEastAsia"/>
          <w:kern w:val="0"/>
          <w:szCs w:val="21"/>
        </w:rPr>
        <w:t>从其规定。</w:t>
      </w:r>
    </w:p>
    <w:p w14:paraId="03EF500E"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69" w:name="_Toc278409426"/>
      <w:bookmarkStart w:id="670" w:name="_Toc20148476"/>
      <w:bookmarkEnd w:id="669"/>
      <w:r w:rsidRPr="00487553">
        <w:rPr>
          <w:rFonts w:asciiTheme="minorEastAsia" w:eastAsiaTheme="minorEastAsia" w:hAnsiTheme="minorEastAsia"/>
        </w:rPr>
        <w:t>收益分配方案</w:t>
      </w:r>
      <w:bookmarkEnd w:id="670"/>
    </w:p>
    <w:p w14:paraId="0EDEEDB9" w14:textId="77777777" w:rsidR="00896516"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rPr>
        <w:t>基金收益分配方案中载明基金截至收益分配基准日的可供分配利润、基金收益分配对象、分配时间、分配数额及比例、分配方式等内容。</w:t>
      </w:r>
    </w:p>
    <w:p w14:paraId="1952945F"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71" w:name="_Toc20148477"/>
      <w:r w:rsidRPr="00487553">
        <w:rPr>
          <w:rFonts w:asciiTheme="minorEastAsia" w:eastAsiaTheme="minorEastAsia" w:hAnsiTheme="minorEastAsia"/>
        </w:rPr>
        <w:t>收益分配方案的确定、公告与实施</w:t>
      </w:r>
      <w:bookmarkEnd w:id="671"/>
    </w:p>
    <w:p w14:paraId="1012C2E7" w14:textId="77777777" w:rsidR="002A6654"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基金收益分配方案由基金管理人拟定，并由基金托管人核实后确定，基金管理人按法律法规的规定向中国证监会备案并指定媒体上公告。</w:t>
      </w:r>
    </w:p>
    <w:p w14:paraId="3ACBC8D9" w14:textId="77777777" w:rsidR="002A6654" w:rsidRPr="00487553" w:rsidRDefault="002A6654"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本基金收益分配的发放日距离收益分配基准日的时间不超过15个工作日。</w:t>
      </w:r>
    </w:p>
    <w:p w14:paraId="36E4F7C3" w14:textId="77777777" w:rsidR="00896516" w:rsidRPr="00487553" w:rsidRDefault="002A6654" w:rsidP="00D94E68">
      <w:pPr>
        <w:snapToGrid w:val="0"/>
        <w:spacing w:line="360" w:lineRule="auto"/>
        <w:ind w:firstLineChars="200" w:firstLine="420"/>
        <w:rPr>
          <w:rFonts w:asciiTheme="minorEastAsia" w:eastAsiaTheme="minorEastAsia" w:hAnsiTheme="minorEastAsia"/>
          <w:kern w:val="0"/>
        </w:rPr>
      </w:pPr>
      <w:r w:rsidRPr="00487553">
        <w:rPr>
          <w:rFonts w:asciiTheme="minorEastAsia" w:eastAsiaTheme="minorEastAsia" w:hAnsiTheme="minorEastAsia" w:hint="eastAsia"/>
          <w:kern w:val="0"/>
          <w:szCs w:val="21"/>
        </w:rPr>
        <w:lastRenderedPageBreak/>
        <w:t>法律法规或监管机关另有规定的，从其规定。</w:t>
      </w:r>
    </w:p>
    <w:p w14:paraId="0901BFE5" w14:textId="77777777" w:rsidR="000D5124" w:rsidRPr="00487553" w:rsidRDefault="000D5124" w:rsidP="00D94E68">
      <w:pPr>
        <w:pStyle w:val="2"/>
        <w:numPr>
          <w:ilvl w:val="0"/>
          <w:numId w:val="26"/>
        </w:numPr>
        <w:snapToGrid w:val="0"/>
        <w:spacing w:beforeLines="0" w:afterLines="0" w:line="360" w:lineRule="auto"/>
        <w:ind w:firstLineChars="0"/>
        <w:rPr>
          <w:rFonts w:asciiTheme="minorEastAsia" w:eastAsiaTheme="minorEastAsia" w:hAnsiTheme="minorEastAsia"/>
        </w:rPr>
      </w:pPr>
      <w:bookmarkStart w:id="672" w:name="_Toc22006048"/>
      <w:bookmarkStart w:id="673" w:name="_Toc20148478"/>
      <w:r w:rsidRPr="00487553">
        <w:rPr>
          <w:rFonts w:asciiTheme="minorEastAsia" w:eastAsiaTheme="minorEastAsia" w:hAnsiTheme="minorEastAsia"/>
        </w:rPr>
        <w:t>基金收益分配中发生的费用</w:t>
      </w:r>
      <w:bookmarkEnd w:id="672"/>
      <w:bookmarkEnd w:id="673"/>
    </w:p>
    <w:p w14:paraId="232B75AE" w14:textId="77777777" w:rsidR="00896516" w:rsidRPr="00487553" w:rsidRDefault="002A6654"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rPr>
        <w:t>收益分配时所发生的银行转账或其他手续费用由投资者自行承担。当</w:t>
      </w:r>
      <w:r w:rsidRPr="00487553">
        <w:rPr>
          <w:rFonts w:asciiTheme="minorEastAsia" w:eastAsiaTheme="minorEastAsia" w:hAnsiTheme="minorEastAsia" w:hint="eastAsia"/>
          <w:kern w:val="0"/>
          <w:szCs w:val="21"/>
        </w:rPr>
        <w:t>投资者的</w:t>
      </w:r>
      <w:r w:rsidR="00F615EE" w:rsidRPr="00487553">
        <w:rPr>
          <w:rFonts w:asciiTheme="minorEastAsia" w:eastAsiaTheme="minorEastAsia" w:hAnsiTheme="minorEastAsia" w:hint="eastAsia"/>
          <w:szCs w:val="21"/>
        </w:rPr>
        <w:t>某类基金份额</w:t>
      </w:r>
      <w:r w:rsidRPr="00487553">
        <w:rPr>
          <w:rFonts w:asciiTheme="minorEastAsia" w:eastAsiaTheme="minorEastAsia" w:hAnsiTheme="minorEastAsia" w:hint="eastAsia"/>
          <w:kern w:val="0"/>
          <w:szCs w:val="21"/>
        </w:rPr>
        <w:t>现金红利小于一定金额，不足于支付银行转账或其他手续费用时，注册登记机构可将基金份额持有人的</w:t>
      </w:r>
      <w:r w:rsidR="00F615EE" w:rsidRPr="00487553">
        <w:rPr>
          <w:rFonts w:asciiTheme="minorEastAsia" w:eastAsiaTheme="minorEastAsia" w:hAnsiTheme="minorEastAsia" w:hint="eastAsia"/>
          <w:kern w:val="0"/>
          <w:szCs w:val="21"/>
        </w:rPr>
        <w:t>该类</w:t>
      </w:r>
      <w:r w:rsidRPr="00487553">
        <w:rPr>
          <w:rFonts w:asciiTheme="minorEastAsia" w:eastAsiaTheme="minorEastAsia" w:hAnsiTheme="minorEastAsia" w:hint="eastAsia"/>
          <w:kern w:val="0"/>
          <w:szCs w:val="21"/>
        </w:rPr>
        <w:t>现金红利自动转为</w:t>
      </w:r>
      <w:r w:rsidR="00F615EE" w:rsidRPr="00487553">
        <w:rPr>
          <w:rFonts w:asciiTheme="minorEastAsia" w:eastAsiaTheme="minorEastAsia" w:hAnsiTheme="minorEastAsia" w:hint="eastAsia"/>
          <w:kern w:val="0"/>
          <w:szCs w:val="21"/>
        </w:rPr>
        <w:t>该类</w:t>
      </w:r>
      <w:r w:rsidRPr="00487553">
        <w:rPr>
          <w:rFonts w:asciiTheme="minorEastAsia" w:eastAsiaTheme="minorEastAsia" w:hAnsiTheme="minorEastAsia" w:hint="eastAsia"/>
          <w:kern w:val="0"/>
          <w:szCs w:val="21"/>
        </w:rPr>
        <w:t>基金份额。红利再投资的计算方法，依照基金管理人的相关业务规则执行。</w:t>
      </w:r>
    </w:p>
    <w:p w14:paraId="554E649C" w14:textId="77777777" w:rsidR="000D5124" w:rsidRPr="00487553" w:rsidRDefault="000D5124" w:rsidP="00D94E68">
      <w:pPr>
        <w:snapToGrid w:val="0"/>
        <w:spacing w:line="360" w:lineRule="auto"/>
        <w:ind w:firstLine="420"/>
        <w:rPr>
          <w:rFonts w:asciiTheme="minorEastAsia" w:eastAsiaTheme="minorEastAsia" w:hAnsiTheme="minorEastAsia"/>
          <w:szCs w:val="21"/>
        </w:rPr>
      </w:pPr>
    </w:p>
    <w:bookmarkEnd w:id="665"/>
    <w:bookmarkEnd w:id="666"/>
    <w:p w14:paraId="3B768AB1" w14:textId="77777777" w:rsidR="0064594E" w:rsidRPr="00487553" w:rsidRDefault="0064594E" w:rsidP="00D94E68">
      <w:pPr>
        <w:snapToGrid w:val="0"/>
        <w:spacing w:line="360" w:lineRule="auto"/>
        <w:rPr>
          <w:rFonts w:asciiTheme="minorEastAsia" w:eastAsiaTheme="minorEastAsia" w:hAnsiTheme="minorEastAsia"/>
          <w:szCs w:val="21"/>
        </w:rPr>
      </w:pPr>
    </w:p>
    <w:p w14:paraId="4DB36FDB" w14:textId="10617690"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674" w:name="_Toc20148479"/>
      <w:r w:rsidRPr="00487553">
        <w:rPr>
          <w:rFonts w:asciiTheme="minorEastAsia" w:eastAsiaTheme="minorEastAsia" w:hAnsiTheme="minorEastAsia"/>
        </w:rPr>
        <w:lastRenderedPageBreak/>
        <w:t>基金的会计与审计</w:t>
      </w:r>
      <w:bookmarkEnd w:id="674"/>
    </w:p>
    <w:p w14:paraId="77D7104D" w14:textId="77777777" w:rsidR="0064594E" w:rsidRPr="00487553" w:rsidRDefault="0064594E" w:rsidP="00D94E68">
      <w:pPr>
        <w:pStyle w:val="2"/>
        <w:numPr>
          <w:ilvl w:val="0"/>
          <w:numId w:val="27"/>
        </w:numPr>
        <w:snapToGrid w:val="0"/>
        <w:spacing w:beforeLines="0" w:afterLines="0" w:line="360" w:lineRule="auto"/>
        <w:ind w:firstLineChars="0"/>
        <w:rPr>
          <w:rFonts w:asciiTheme="minorEastAsia" w:eastAsiaTheme="minorEastAsia" w:hAnsiTheme="minorEastAsia"/>
        </w:rPr>
      </w:pPr>
      <w:bookmarkStart w:id="675" w:name="_Toc20148480"/>
      <w:r w:rsidRPr="00487553">
        <w:rPr>
          <w:rFonts w:asciiTheme="minorEastAsia" w:eastAsiaTheme="minorEastAsia" w:hAnsiTheme="minorEastAsia"/>
        </w:rPr>
        <w:t>基金会计政策</w:t>
      </w:r>
      <w:bookmarkEnd w:id="675"/>
    </w:p>
    <w:p w14:paraId="109961D2" w14:textId="208CFFC6" w:rsidR="008B4EA9" w:rsidRPr="00487553" w:rsidRDefault="008B4E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1</w:t>
      </w:r>
      <w:r w:rsidRPr="00487553">
        <w:rPr>
          <w:rFonts w:asciiTheme="minorEastAsia" w:eastAsiaTheme="minorEastAsia" w:hAnsiTheme="minorEastAsia" w:hint="eastAsia"/>
          <w:kern w:val="0"/>
          <w:szCs w:val="21"/>
        </w:rPr>
        <w:t>、基金的会计年度为公历每年1月1日至12月31日。</w:t>
      </w:r>
    </w:p>
    <w:p w14:paraId="674A74E7" w14:textId="77777777" w:rsidR="008B4EA9" w:rsidRPr="00487553" w:rsidRDefault="008B4E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、基金核算以人民币为记账本位币，以人民币元为记账单位。</w:t>
      </w:r>
    </w:p>
    <w:p w14:paraId="2E73A3ED" w14:textId="77777777" w:rsidR="008B4EA9" w:rsidRPr="00487553" w:rsidRDefault="008B4E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3</w:t>
      </w:r>
      <w:r w:rsidRPr="00487553">
        <w:rPr>
          <w:rFonts w:asciiTheme="minorEastAsia" w:eastAsiaTheme="minorEastAsia" w:hAnsiTheme="minorEastAsia" w:hint="eastAsia"/>
          <w:kern w:val="0"/>
          <w:szCs w:val="21"/>
        </w:rPr>
        <w:t>、会计制度按国家有关的会计制度执行。</w:t>
      </w:r>
    </w:p>
    <w:p w14:paraId="2564850E" w14:textId="77777777" w:rsidR="008B4EA9" w:rsidRPr="00487553" w:rsidRDefault="008B4E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4</w:t>
      </w:r>
      <w:r w:rsidRPr="00487553">
        <w:rPr>
          <w:rFonts w:asciiTheme="minorEastAsia" w:eastAsiaTheme="minorEastAsia" w:hAnsiTheme="minorEastAsia" w:hint="eastAsia"/>
          <w:kern w:val="0"/>
          <w:szCs w:val="21"/>
        </w:rPr>
        <w:t>、本基金独立建账、独立核算。</w:t>
      </w:r>
    </w:p>
    <w:p w14:paraId="1C512847" w14:textId="77777777" w:rsidR="008B4EA9" w:rsidRPr="00487553" w:rsidRDefault="008B4EA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5</w:t>
      </w:r>
      <w:r w:rsidRPr="00487553">
        <w:rPr>
          <w:rFonts w:asciiTheme="minorEastAsia" w:eastAsiaTheme="minorEastAsia" w:hAnsiTheme="minorEastAsia" w:hint="eastAsia"/>
          <w:kern w:val="0"/>
          <w:szCs w:val="21"/>
        </w:rPr>
        <w:t>、本基金会计责任人为基金管理人。</w:t>
      </w:r>
    </w:p>
    <w:p w14:paraId="7082FC7D" w14:textId="77777777" w:rsidR="00CF1645" w:rsidRPr="00487553" w:rsidRDefault="008B4EA9"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6、基金管理人应保留完整的会计账目、凭证并进行日常的会计核算，按照有关规定编制基金会计报表，基金托管人定期与基金管理人就基金的会计核算、报表编制等进行核对并以书面方式确认。</w:t>
      </w:r>
    </w:p>
    <w:p w14:paraId="6C1D394C" w14:textId="77777777" w:rsidR="0064594E" w:rsidRPr="00487553" w:rsidRDefault="0064594E" w:rsidP="00D94E68">
      <w:pPr>
        <w:pStyle w:val="2"/>
        <w:numPr>
          <w:ilvl w:val="0"/>
          <w:numId w:val="27"/>
        </w:numPr>
        <w:snapToGrid w:val="0"/>
        <w:spacing w:beforeLines="0" w:afterLines="0" w:line="360" w:lineRule="auto"/>
        <w:ind w:firstLineChars="0"/>
        <w:rPr>
          <w:rFonts w:asciiTheme="minorEastAsia" w:eastAsiaTheme="minorEastAsia" w:hAnsiTheme="minorEastAsia"/>
        </w:rPr>
      </w:pPr>
      <w:bookmarkStart w:id="676" w:name="_Toc20148481"/>
      <w:r w:rsidRPr="00487553">
        <w:rPr>
          <w:rFonts w:asciiTheme="minorEastAsia" w:eastAsiaTheme="minorEastAsia" w:hAnsiTheme="minorEastAsia"/>
        </w:rPr>
        <w:t>基金年度审计</w:t>
      </w:r>
      <w:bookmarkEnd w:id="676"/>
    </w:p>
    <w:p w14:paraId="382C1C69" w14:textId="77777777" w:rsidR="0063256B" w:rsidRPr="00487553" w:rsidRDefault="0063256B"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1</w:t>
      </w:r>
      <w:r w:rsidRPr="00487553">
        <w:rPr>
          <w:rFonts w:asciiTheme="minorEastAsia" w:eastAsiaTheme="minorEastAsia" w:hAnsiTheme="minorEastAsia" w:hint="eastAsia"/>
          <w:kern w:val="0"/>
          <w:szCs w:val="21"/>
        </w:rPr>
        <w:t>、基金管理人聘请与基金管理人、基金托管人相独立的、具有从事证券业务资格的会计师事务所及其注册会计师对基金年度财务报表及其他规定事项进行审计；</w:t>
      </w:r>
    </w:p>
    <w:p w14:paraId="0F4AAF1B" w14:textId="77777777" w:rsidR="0063256B" w:rsidRPr="00487553" w:rsidRDefault="0063256B"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、会计师事务所更换经办注册会计师，应事先征得基金管理人同意；</w:t>
      </w:r>
    </w:p>
    <w:p w14:paraId="3F2C52CF" w14:textId="77777777" w:rsidR="00CF1645" w:rsidRPr="00487553" w:rsidRDefault="0063256B"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3</w:t>
      </w:r>
      <w:r w:rsidRPr="00487553">
        <w:rPr>
          <w:rFonts w:asciiTheme="minorEastAsia" w:eastAsiaTheme="minorEastAsia" w:hAnsiTheme="minorEastAsia" w:hint="eastAsia"/>
          <w:kern w:val="0"/>
          <w:szCs w:val="21"/>
        </w:rPr>
        <w:t>、基金管理人认为有充足理由更换会计师事务所，须通知基金托管人，并报中国证监会备案。基金管理人应在更换会计师事务所后在2日内</w:t>
      </w:r>
      <w:r w:rsidRPr="00487553">
        <w:rPr>
          <w:rFonts w:asciiTheme="minorEastAsia" w:eastAsiaTheme="minorEastAsia" w:hAnsiTheme="minorEastAsia"/>
          <w:szCs w:val="21"/>
        </w:rPr>
        <w:t>在至少一家指定媒体公告</w:t>
      </w:r>
      <w:r w:rsidRPr="00487553">
        <w:rPr>
          <w:rFonts w:asciiTheme="minorEastAsia" w:eastAsiaTheme="minorEastAsia" w:hAnsiTheme="minorEastAsia" w:hint="eastAsia"/>
          <w:kern w:val="0"/>
          <w:szCs w:val="21"/>
        </w:rPr>
        <w:t>。</w:t>
      </w:r>
    </w:p>
    <w:p w14:paraId="2271AB4A" w14:textId="77777777" w:rsidR="00CF1645" w:rsidRPr="00487553" w:rsidRDefault="00CF1645" w:rsidP="00D94E68">
      <w:pPr>
        <w:snapToGrid w:val="0"/>
        <w:spacing w:line="360" w:lineRule="auto"/>
        <w:rPr>
          <w:rFonts w:asciiTheme="minorEastAsia" w:eastAsiaTheme="minorEastAsia" w:hAnsiTheme="minorEastAsia"/>
          <w:kern w:val="0"/>
          <w:szCs w:val="21"/>
        </w:rPr>
      </w:pPr>
    </w:p>
    <w:p w14:paraId="7DC4F26C" w14:textId="77777777" w:rsidR="0064594E" w:rsidRPr="00487553" w:rsidRDefault="0064594E" w:rsidP="00D94E68">
      <w:pPr>
        <w:snapToGrid w:val="0"/>
        <w:spacing w:line="360" w:lineRule="auto"/>
        <w:rPr>
          <w:rFonts w:asciiTheme="minorEastAsia" w:eastAsiaTheme="minorEastAsia" w:hAnsiTheme="minorEastAsia"/>
          <w:szCs w:val="21"/>
        </w:rPr>
      </w:pPr>
    </w:p>
    <w:p w14:paraId="07951073" w14:textId="5C3D22D9"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bCs/>
        </w:rPr>
      </w:pPr>
      <w:bookmarkStart w:id="677" w:name="_Toc20148482"/>
      <w:r w:rsidRPr="00487553">
        <w:rPr>
          <w:rFonts w:asciiTheme="minorEastAsia" w:eastAsiaTheme="minorEastAsia" w:hAnsiTheme="minorEastAsia"/>
          <w:bCs/>
        </w:rPr>
        <w:lastRenderedPageBreak/>
        <w:t>基金的信息披露</w:t>
      </w:r>
      <w:bookmarkEnd w:id="677"/>
    </w:p>
    <w:p w14:paraId="7CA4BEF3"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78" w:name="_Toc20148483"/>
      <w:r w:rsidRPr="00487553">
        <w:rPr>
          <w:rFonts w:asciiTheme="minorEastAsia" w:eastAsiaTheme="minorEastAsia" w:hAnsiTheme="minorEastAsia" w:hint="eastAsia"/>
        </w:rPr>
        <w:t>披露原则</w:t>
      </w:r>
      <w:bookmarkEnd w:id="678"/>
    </w:p>
    <w:p w14:paraId="573E72CD"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基金的信息披露应符合《基金法》、《</w:t>
      </w:r>
      <w:r w:rsidRPr="00487553">
        <w:rPr>
          <w:rFonts w:asciiTheme="minorEastAsia" w:eastAsiaTheme="minorEastAsia" w:hAnsiTheme="minorEastAsia"/>
          <w:bCs/>
          <w:szCs w:val="21"/>
        </w:rPr>
        <w:t>运作办法</w:t>
      </w:r>
      <w:r w:rsidRPr="00487553">
        <w:rPr>
          <w:rFonts w:asciiTheme="minorEastAsia" w:eastAsiaTheme="minorEastAsia" w:hAnsiTheme="minorEastAsia" w:hint="eastAsia"/>
          <w:bCs/>
          <w:szCs w:val="21"/>
        </w:rPr>
        <w:t>》、《信息披露办法》、基金合同及其他有关规定。</w:t>
      </w:r>
    </w:p>
    <w:p w14:paraId="11C70C80"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基金信息披露义务人应当在中国证监会规定时间内，</w:t>
      </w:r>
      <w:r w:rsidR="00A42919" w:rsidRPr="00487553">
        <w:rPr>
          <w:rFonts w:asciiTheme="minorEastAsia" w:eastAsiaTheme="minorEastAsia" w:hAnsiTheme="minorEastAsia" w:hint="eastAsia"/>
          <w:bCs/>
          <w:szCs w:val="21"/>
        </w:rPr>
        <w:t>将应予披露的基金信息通过中国证监会指定的报刊或网站披露</w:t>
      </w:r>
      <w:r w:rsidRPr="00487553">
        <w:rPr>
          <w:rFonts w:asciiTheme="minorEastAsia" w:eastAsiaTheme="minorEastAsia" w:hAnsiTheme="minorEastAsia" w:hint="eastAsia"/>
          <w:bCs/>
          <w:szCs w:val="21"/>
        </w:rPr>
        <w:t>，并保证投资者能够按照基金合同约定的时间和方式查阅或者复制公开披露的信息资料。</w:t>
      </w:r>
    </w:p>
    <w:p w14:paraId="1C373ECD"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本基金信息披露义务人承诺在公开披露基金信息的过程中不得有下列行为：</w:t>
      </w:r>
    </w:p>
    <w:p w14:paraId="0E711013"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w:t>
      </w:r>
      <w:r w:rsidR="00847EB9" w:rsidRPr="00487553">
        <w:rPr>
          <w:rFonts w:asciiTheme="minorEastAsia" w:eastAsiaTheme="minorEastAsia" w:hAnsiTheme="minorEastAsia" w:hint="eastAsia"/>
          <w:bCs/>
          <w:szCs w:val="21"/>
        </w:rPr>
        <w:t>虚假记载、误导性陈述或者重大遗漏；</w:t>
      </w:r>
    </w:p>
    <w:p w14:paraId="228254F6"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w:t>
      </w:r>
      <w:r w:rsidR="00847EB9" w:rsidRPr="00487553">
        <w:rPr>
          <w:rFonts w:asciiTheme="minorEastAsia" w:eastAsiaTheme="minorEastAsia" w:hAnsiTheme="minorEastAsia" w:hint="eastAsia"/>
          <w:bCs/>
          <w:szCs w:val="21"/>
        </w:rPr>
        <w:t>对证券投资业绩进行预测；</w:t>
      </w:r>
    </w:p>
    <w:p w14:paraId="7D0233B6"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w:t>
      </w:r>
      <w:r w:rsidR="00847EB9" w:rsidRPr="00487553">
        <w:rPr>
          <w:rFonts w:asciiTheme="minorEastAsia" w:eastAsiaTheme="minorEastAsia" w:hAnsiTheme="minorEastAsia" w:hint="eastAsia"/>
          <w:bCs/>
          <w:szCs w:val="21"/>
        </w:rPr>
        <w:t>违规承诺收益或者承担损失；</w:t>
      </w:r>
    </w:p>
    <w:p w14:paraId="5886BEDB"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4、</w:t>
      </w:r>
      <w:r w:rsidR="00847EB9" w:rsidRPr="00487553">
        <w:rPr>
          <w:rFonts w:asciiTheme="minorEastAsia" w:eastAsiaTheme="minorEastAsia" w:hAnsiTheme="minorEastAsia" w:hint="eastAsia"/>
          <w:bCs/>
          <w:szCs w:val="21"/>
        </w:rPr>
        <w:t>诋毁其他基金管理人、基金托管人或者基金份额发售机构；</w:t>
      </w:r>
    </w:p>
    <w:p w14:paraId="4454CD92"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5、</w:t>
      </w:r>
      <w:r w:rsidR="00847EB9" w:rsidRPr="00487553">
        <w:rPr>
          <w:rFonts w:asciiTheme="minorEastAsia" w:eastAsiaTheme="minorEastAsia" w:hAnsiTheme="minorEastAsia" w:hint="eastAsia"/>
          <w:bCs/>
          <w:szCs w:val="21"/>
        </w:rPr>
        <w:t>登载任何自然人、法人或者其他组织的祝贺性、恭维性或推荐性的文字；</w:t>
      </w:r>
    </w:p>
    <w:p w14:paraId="045F371B" w14:textId="77777777" w:rsidR="00847EB9" w:rsidRPr="00487553" w:rsidRDefault="0062243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6、</w:t>
      </w:r>
      <w:r w:rsidR="00847EB9" w:rsidRPr="00487553">
        <w:rPr>
          <w:rFonts w:asciiTheme="minorEastAsia" w:eastAsiaTheme="minorEastAsia" w:hAnsiTheme="minorEastAsia" w:hint="eastAsia"/>
          <w:bCs/>
          <w:szCs w:val="21"/>
        </w:rPr>
        <w:t>中国证监会禁止的其他行为。</w:t>
      </w:r>
    </w:p>
    <w:p w14:paraId="53D1AAD9"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本基金公开披露的信息应采用中文文本。如同时采用外文文本的，基金信息披露义务人应保证两种文本的内容一致。两种文本发生歧义的，以中文文本为准。</w:t>
      </w:r>
    </w:p>
    <w:p w14:paraId="2D942ED5"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本基金公开披露的信息</w:t>
      </w:r>
      <w:r w:rsidRPr="00487553">
        <w:rPr>
          <w:rFonts w:asciiTheme="minorEastAsia" w:eastAsiaTheme="minorEastAsia" w:hAnsiTheme="minorEastAsia"/>
          <w:bCs/>
          <w:szCs w:val="21"/>
        </w:rPr>
        <w:t>采用阿拉伯数字；</w:t>
      </w:r>
      <w:r w:rsidRPr="00487553">
        <w:rPr>
          <w:rFonts w:asciiTheme="minorEastAsia" w:eastAsiaTheme="minorEastAsia" w:hAnsiTheme="minorEastAsia" w:hint="eastAsia"/>
          <w:bCs/>
          <w:szCs w:val="21"/>
        </w:rPr>
        <w:t>除特别说明外，货币单位为人民币元。</w:t>
      </w:r>
    </w:p>
    <w:p w14:paraId="28D57FB7"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79" w:name="_Toc20148484"/>
      <w:r w:rsidRPr="00487553">
        <w:rPr>
          <w:rFonts w:asciiTheme="minorEastAsia" w:eastAsiaTheme="minorEastAsia" w:hAnsiTheme="minorEastAsia" w:hint="eastAsia"/>
        </w:rPr>
        <w:t>基金募集信息披露</w:t>
      </w:r>
      <w:bookmarkEnd w:id="679"/>
    </w:p>
    <w:p w14:paraId="21915D42"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w:t>
      </w:r>
      <w:r w:rsidR="00847EB9" w:rsidRPr="00487553">
        <w:rPr>
          <w:rFonts w:asciiTheme="minorEastAsia" w:eastAsiaTheme="minorEastAsia" w:hAnsiTheme="minorEastAsia" w:hint="eastAsia"/>
          <w:bCs/>
          <w:szCs w:val="21"/>
        </w:rPr>
        <w:t>基金募集申请经中国证监会核准后，基金管理人应当在基金份额发售的3日前，将招募说明书、基金合同摘要登载在指定媒体上；基金管理人、基金托管人应当将基金合同、托管协议登载在各自公司网站上。</w:t>
      </w:r>
    </w:p>
    <w:p w14:paraId="60B37548"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w:t>
      </w:r>
      <w:r w:rsidR="00847EB9" w:rsidRPr="00487553">
        <w:rPr>
          <w:rFonts w:asciiTheme="minorEastAsia" w:eastAsiaTheme="minorEastAsia" w:hAnsiTheme="minorEastAsia" w:hint="eastAsia"/>
          <w:bCs/>
          <w:szCs w:val="21"/>
        </w:rPr>
        <w:t>基金管理人应当就基金份额发售的具体事宜编制基金份额发售公告，并在披露招募说明书的当日登载于指定媒体上。</w:t>
      </w:r>
    </w:p>
    <w:p w14:paraId="5FA72FDC"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w:t>
      </w:r>
      <w:r w:rsidR="00847EB9" w:rsidRPr="00487553">
        <w:rPr>
          <w:rFonts w:asciiTheme="minorEastAsia" w:eastAsiaTheme="minorEastAsia" w:hAnsiTheme="minorEastAsia" w:hint="eastAsia"/>
          <w:bCs/>
          <w:szCs w:val="21"/>
        </w:rPr>
        <w:t>基金管理人应当在基金合同生效的次日在指定媒体上登载基金合同生效公告。</w:t>
      </w:r>
    </w:p>
    <w:p w14:paraId="2BE3E98F"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4、</w:t>
      </w:r>
      <w:r w:rsidR="00847EB9" w:rsidRPr="00487553">
        <w:rPr>
          <w:rFonts w:asciiTheme="minorEastAsia" w:eastAsiaTheme="minorEastAsia" w:hAnsiTheme="minorEastAsia" w:hint="eastAsia"/>
          <w:bCs/>
          <w:szCs w:val="21"/>
        </w:rPr>
        <w:t>基金合同生效后，基金管理人应当在每6个月结束之日起45日内，更新招募说明书并登载在网站上，将更新后的招募说明书摘要登载在指定报刊上，更新内容截至每六个月的最后一日。基金管理人应当在公告的15日前向中国证监会报送更新的招募说明书，并就有关更新内容提供书面说明。</w:t>
      </w:r>
    </w:p>
    <w:p w14:paraId="6183D63C"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0" w:name="_Toc20148485"/>
      <w:r w:rsidRPr="00487553">
        <w:rPr>
          <w:rFonts w:asciiTheme="minorEastAsia" w:eastAsiaTheme="minorEastAsia" w:hAnsiTheme="minorEastAsia" w:hint="eastAsia"/>
        </w:rPr>
        <w:t>定期报告</w:t>
      </w:r>
      <w:bookmarkEnd w:id="680"/>
    </w:p>
    <w:p w14:paraId="19BE99FC"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基金定期报告由基金管理人按照法律法规和中国证监会颁布的有关证券投资基金信息披露内容与格式的相关文件的规定单独编制</w:t>
      </w:r>
      <w:r w:rsidRPr="00487553">
        <w:rPr>
          <w:rFonts w:asciiTheme="minorEastAsia" w:eastAsiaTheme="minorEastAsia" w:hAnsiTheme="minorEastAsia"/>
          <w:bCs/>
          <w:szCs w:val="21"/>
        </w:rPr>
        <w:t>，</w:t>
      </w:r>
      <w:r w:rsidRPr="00487553">
        <w:rPr>
          <w:rFonts w:asciiTheme="minorEastAsia" w:eastAsiaTheme="minorEastAsia" w:hAnsiTheme="minorEastAsia" w:hint="eastAsia"/>
          <w:bCs/>
          <w:szCs w:val="21"/>
        </w:rPr>
        <w:t>由基金托管人复核。基金定期报告，包括基金年度报告、基金半年度报告和基金季度报告。</w:t>
      </w:r>
    </w:p>
    <w:p w14:paraId="40261863"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lastRenderedPageBreak/>
        <w:t>1、</w:t>
      </w:r>
      <w:r w:rsidR="00847EB9" w:rsidRPr="00487553">
        <w:rPr>
          <w:rFonts w:asciiTheme="minorEastAsia" w:eastAsiaTheme="minorEastAsia" w:hAnsiTheme="minorEastAsia" w:hint="eastAsia"/>
          <w:bCs/>
          <w:szCs w:val="21"/>
        </w:rPr>
        <w:t>基金年度报告：基金管理人应当在每年结束之日起90日内，编制完成基金年度报告，并将年度报告正文登载于基金管理人网站上，将年度报告摘要登载在指定报刊上。基金年度报告的财务会计报告应当经过审计。</w:t>
      </w:r>
    </w:p>
    <w:p w14:paraId="10825E84"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w:t>
      </w:r>
      <w:r w:rsidR="00847EB9" w:rsidRPr="00487553">
        <w:rPr>
          <w:rFonts w:asciiTheme="minorEastAsia" w:eastAsiaTheme="minorEastAsia" w:hAnsiTheme="minorEastAsia" w:hint="eastAsia"/>
          <w:bCs/>
          <w:szCs w:val="21"/>
        </w:rPr>
        <w:t>基金半年度报告：基金管理人应当在上半年结束之日起60日内，编制完成基金半年度报告，并将半年度报告正文登载在基金管理人网站上，将半年度报告摘要登载在指定报刊上。</w:t>
      </w:r>
    </w:p>
    <w:p w14:paraId="7470AB8B"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w:t>
      </w:r>
      <w:r w:rsidR="00847EB9" w:rsidRPr="00487553">
        <w:rPr>
          <w:rFonts w:asciiTheme="minorEastAsia" w:eastAsiaTheme="minorEastAsia" w:hAnsiTheme="minorEastAsia" w:hint="eastAsia"/>
          <w:bCs/>
          <w:szCs w:val="21"/>
        </w:rPr>
        <w:t>基金季度报告：基金管理人应当在每个季度结束之日起15个工作日内，编制完成基金季度报告，并将季度报告登载在指定报刊和基金管理人网站上。</w:t>
      </w:r>
    </w:p>
    <w:p w14:paraId="2171D92D"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4、</w:t>
      </w:r>
      <w:r w:rsidR="00847EB9" w:rsidRPr="00487553">
        <w:rPr>
          <w:rFonts w:asciiTheme="minorEastAsia" w:eastAsiaTheme="minorEastAsia" w:hAnsiTheme="minorEastAsia" w:hint="eastAsia"/>
          <w:bCs/>
          <w:szCs w:val="21"/>
        </w:rPr>
        <w:t>基金合同生效不足2个月的，基金管理人可以不编制当期季度报告、半年度报告或者年度报告。</w:t>
      </w:r>
    </w:p>
    <w:p w14:paraId="27A5598F" w14:textId="77777777" w:rsidR="00847EB9" w:rsidRPr="00487553" w:rsidRDefault="00F85F98"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5、</w:t>
      </w:r>
      <w:r w:rsidR="00847EB9" w:rsidRPr="00487553">
        <w:rPr>
          <w:rFonts w:asciiTheme="minorEastAsia" w:eastAsiaTheme="minorEastAsia" w:hAnsiTheme="minorEastAsia" w:hint="eastAsia"/>
          <w:bCs/>
          <w:szCs w:val="21"/>
        </w:rPr>
        <w:t>基金定期报告应当在公开披露的第二个工作日，分别报中国证监会和基金管理人主要办公场所所在地中国证监会派出机构备案。</w:t>
      </w:r>
    </w:p>
    <w:p w14:paraId="0D697DFF" w14:textId="77777777" w:rsidR="00377D45" w:rsidRPr="00487553" w:rsidRDefault="00377D45" w:rsidP="00377D45">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14:paraId="23135836" w14:textId="77777777" w:rsidR="00377D45" w:rsidRPr="00487553" w:rsidRDefault="00377D45" w:rsidP="00377D45">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基金持续运作过程中，基金管理人应当在基金年度报告和半年度报告中披露基金组合资产情况及其流动性风险分析等。</w:t>
      </w:r>
    </w:p>
    <w:p w14:paraId="382BC86A"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1" w:name="_Toc20148486"/>
      <w:r w:rsidRPr="00487553">
        <w:rPr>
          <w:rFonts w:asciiTheme="minorEastAsia" w:eastAsiaTheme="minorEastAsia" w:hAnsiTheme="minorEastAsia" w:hint="eastAsia"/>
        </w:rPr>
        <w:t>基金资产净值公告、基金份额净值公告和基金份额累计净值公告</w:t>
      </w:r>
      <w:bookmarkEnd w:id="681"/>
    </w:p>
    <w:p w14:paraId="02B45836" w14:textId="77777777" w:rsidR="00E2067E" w:rsidRPr="00487553" w:rsidRDefault="00E2067E"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基金合同生效后,在开始办理基金份额申购或者赎回前,基金管理人应当至少每周</w:t>
      </w:r>
      <w:r w:rsidRPr="00487553">
        <w:rPr>
          <w:rFonts w:asciiTheme="minorEastAsia" w:eastAsiaTheme="minorEastAsia" w:hAnsiTheme="minorEastAsia" w:hint="eastAsia"/>
          <w:kern w:val="0"/>
          <w:szCs w:val="21"/>
        </w:rPr>
        <w:t>通过基金管理人网站</w:t>
      </w:r>
      <w:r w:rsidRPr="00487553">
        <w:rPr>
          <w:rFonts w:asciiTheme="minorEastAsia" w:eastAsiaTheme="minorEastAsia" w:hAnsiTheme="minorEastAsia"/>
          <w:kern w:val="0"/>
          <w:szCs w:val="21"/>
        </w:rPr>
        <w:t>公告一次基金资产净值和</w:t>
      </w:r>
      <w:r w:rsidR="000278CD" w:rsidRPr="00487553">
        <w:rPr>
          <w:rFonts w:asciiTheme="minorEastAsia" w:eastAsiaTheme="minorEastAsia" w:hAnsiTheme="minorEastAsia" w:hint="eastAsia"/>
          <w:kern w:val="0"/>
          <w:szCs w:val="21"/>
        </w:rPr>
        <w:t>不同币种份额的</w:t>
      </w:r>
      <w:r w:rsidRPr="00487553">
        <w:rPr>
          <w:rFonts w:asciiTheme="minorEastAsia" w:eastAsiaTheme="minorEastAsia" w:hAnsiTheme="minorEastAsia"/>
          <w:kern w:val="0"/>
          <w:szCs w:val="21"/>
        </w:rPr>
        <w:t>基金份额净值。</w:t>
      </w:r>
    </w:p>
    <w:p w14:paraId="5BA8D0F4" w14:textId="77777777" w:rsidR="00E2067E" w:rsidRPr="00487553" w:rsidRDefault="00E2067E"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在开始办理基金份额申购或者赎回后，基金管理人在每个开放日的次日，通过基金管理人网站披露</w:t>
      </w:r>
      <w:r w:rsidR="0037402C" w:rsidRPr="00487553">
        <w:rPr>
          <w:rFonts w:asciiTheme="minorEastAsia" w:eastAsiaTheme="minorEastAsia" w:hAnsiTheme="minorEastAsia" w:hint="eastAsia"/>
          <w:kern w:val="0"/>
          <w:szCs w:val="21"/>
        </w:rPr>
        <w:t>不同币种份额</w:t>
      </w:r>
      <w:r w:rsidRPr="00487553">
        <w:rPr>
          <w:rFonts w:asciiTheme="minorEastAsia" w:eastAsiaTheme="minorEastAsia" w:hAnsiTheme="minorEastAsia" w:hint="eastAsia"/>
          <w:kern w:val="0"/>
          <w:szCs w:val="21"/>
        </w:rPr>
        <w:t>开放日的基金份额净值和基金份额累计净值。</w:t>
      </w:r>
    </w:p>
    <w:p w14:paraId="76650977" w14:textId="77777777" w:rsidR="00E2067E" w:rsidRPr="00487553" w:rsidRDefault="00E2067E"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基金管理人应当公告半年度和年度最后一个市场交易日基金资产净值和基金份额净值。基金管理人在前款规定的市场交易日的次日,将基金资产净值、</w:t>
      </w:r>
      <w:r w:rsidR="000278CD" w:rsidRPr="00487553">
        <w:rPr>
          <w:rFonts w:asciiTheme="minorEastAsia" w:eastAsiaTheme="minorEastAsia" w:hAnsiTheme="minorEastAsia" w:hint="eastAsia"/>
          <w:kern w:val="0"/>
          <w:szCs w:val="21"/>
        </w:rPr>
        <w:t>不同币种份额的</w:t>
      </w:r>
      <w:r w:rsidRPr="00487553">
        <w:rPr>
          <w:rFonts w:asciiTheme="minorEastAsia" w:eastAsiaTheme="minorEastAsia" w:hAnsiTheme="minorEastAsia"/>
          <w:kern w:val="0"/>
          <w:szCs w:val="21"/>
        </w:rPr>
        <w:t>基金份额净值和基金份额累计净值</w:t>
      </w:r>
      <w:r w:rsidRPr="00487553">
        <w:rPr>
          <w:rFonts w:asciiTheme="minorEastAsia" w:eastAsiaTheme="minorEastAsia" w:hAnsiTheme="minorEastAsia" w:hint="eastAsia"/>
          <w:kern w:val="0"/>
          <w:szCs w:val="21"/>
        </w:rPr>
        <w:t>登载在基金管理人网站上；</w:t>
      </w:r>
      <w:r w:rsidRPr="00487553">
        <w:rPr>
          <w:rFonts w:asciiTheme="minorEastAsia" w:eastAsiaTheme="minorEastAsia" w:hAnsiTheme="minorEastAsia"/>
          <w:kern w:val="0"/>
          <w:szCs w:val="21"/>
        </w:rPr>
        <w:t>在前款规定的市场交易日</w:t>
      </w:r>
      <w:r w:rsidRPr="00487553">
        <w:rPr>
          <w:rFonts w:asciiTheme="minorEastAsia" w:eastAsiaTheme="minorEastAsia" w:hAnsiTheme="minorEastAsia" w:hint="eastAsia"/>
          <w:kern w:val="0"/>
          <w:szCs w:val="21"/>
        </w:rPr>
        <w:t>后两个交易</w:t>
      </w:r>
      <w:r w:rsidRPr="00487553">
        <w:rPr>
          <w:rFonts w:asciiTheme="minorEastAsia" w:eastAsiaTheme="minorEastAsia" w:hAnsiTheme="minorEastAsia"/>
          <w:kern w:val="0"/>
          <w:szCs w:val="21"/>
        </w:rPr>
        <w:t>日</w:t>
      </w:r>
      <w:r w:rsidRPr="00487553">
        <w:rPr>
          <w:rFonts w:asciiTheme="minorEastAsia" w:eastAsiaTheme="minorEastAsia" w:hAnsiTheme="minorEastAsia" w:hint="eastAsia"/>
          <w:kern w:val="0"/>
          <w:szCs w:val="21"/>
        </w:rPr>
        <w:t>内，</w:t>
      </w:r>
      <w:r w:rsidR="000D6E4A" w:rsidRPr="00487553">
        <w:rPr>
          <w:rFonts w:asciiTheme="minorEastAsia" w:eastAsiaTheme="minorEastAsia" w:hAnsiTheme="minorEastAsia" w:hint="eastAsia"/>
          <w:kern w:val="0"/>
          <w:szCs w:val="21"/>
        </w:rPr>
        <w:t>将</w:t>
      </w:r>
      <w:r w:rsidR="000D6E4A" w:rsidRPr="00487553">
        <w:rPr>
          <w:rFonts w:asciiTheme="minorEastAsia" w:eastAsiaTheme="minorEastAsia" w:hAnsiTheme="minorEastAsia"/>
          <w:kern w:val="0"/>
          <w:szCs w:val="21"/>
        </w:rPr>
        <w:t>基金资产净值</w:t>
      </w:r>
      <w:r w:rsidR="000D6E4A" w:rsidRPr="00487553">
        <w:rPr>
          <w:rFonts w:asciiTheme="minorEastAsia" w:eastAsiaTheme="minorEastAsia" w:hAnsiTheme="minorEastAsia" w:hint="eastAsia"/>
          <w:kern w:val="0"/>
          <w:szCs w:val="21"/>
        </w:rPr>
        <w:t>、人民币基金份额的</w:t>
      </w:r>
      <w:r w:rsidR="000D6E4A" w:rsidRPr="00487553">
        <w:rPr>
          <w:rFonts w:asciiTheme="minorEastAsia" w:eastAsiaTheme="minorEastAsia" w:hAnsiTheme="minorEastAsia"/>
          <w:kern w:val="0"/>
          <w:szCs w:val="21"/>
        </w:rPr>
        <w:t>基金份额净值和基金份额累计净值</w:t>
      </w:r>
      <w:r w:rsidRPr="00487553">
        <w:rPr>
          <w:rFonts w:asciiTheme="minorEastAsia" w:eastAsiaTheme="minorEastAsia" w:hAnsiTheme="minorEastAsia" w:hint="eastAsia"/>
          <w:kern w:val="0"/>
          <w:szCs w:val="21"/>
        </w:rPr>
        <w:t>在指定报刊披露。</w:t>
      </w:r>
    </w:p>
    <w:p w14:paraId="1D290F7F" w14:textId="77777777" w:rsidR="000D6E4A" w:rsidRPr="00487553" w:rsidRDefault="000D6E4A"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外币份额的基金份额累计净值=外币份额的基金份额净值+外币基金份额的每份收益分配金额累计数</w:t>
      </w:r>
    </w:p>
    <w:p w14:paraId="4B4438F4"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2" w:name="_Toc323051053"/>
      <w:bookmarkStart w:id="683" w:name="_Toc323051054"/>
      <w:bookmarkStart w:id="684" w:name="_Toc323051055"/>
      <w:bookmarkStart w:id="685" w:name="_Toc20148487"/>
      <w:bookmarkEnd w:id="682"/>
      <w:bookmarkEnd w:id="683"/>
      <w:bookmarkEnd w:id="684"/>
      <w:r w:rsidRPr="00487553">
        <w:rPr>
          <w:rFonts w:asciiTheme="minorEastAsia" w:eastAsiaTheme="minorEastAsia" w:hAnsiTheme="minorEastAsia" w:hint="eastAsia"/>
        </w:rPr>
        <w:t>临时报告与公告</w:t>
      </w:r>
      <w:bookmarkEnd w:id="685"/>
    </w:p>
    <w:p w14:paraId="1349BCDD"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基金发生重大事件，有关信息披露义务人应当在2日内编制临时报告书，予以公告，</w:t>
      </w:r>
      <w:r w:rsidRPr="00487553">
        <w:rPr>
          <w:rFonts w:asciiTheme="minorEastAsia" w:eastAsiaTheme="minorEastAsia" w:hAnsiTheme="minorEastAsia" w:hint="eastAsia"/>
          <w:bCs/>
          <w:szCs w:val="21"/>
        </w:rPr>
        <w:lastRenderedPageBreak/>
        <w:t>并在公开披露日分别报中国证监会和基金管理人主要办公场所所在地中国证监会派出机构备案。</w:t>
      </w:r>
    </w:p>
    <w:p w14:paraId="0EDF240F"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前款所称重大事件，是指可能对基金份额持有人权益或者基金份额的价格产生重大影响的下列事件：</w:t>
      </w:r>
    </w:p>
    <w:p w14:paraId="217708A7"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w:t>
      </w:r>
      <w:r w:rsidR="00847EB9" w:rsidRPr="00487553">
        <w:rPr>
          <w:rFonts w:asciiTheme="minorEastAsia" w:eastAsiaTheme="minorEastAsia" w:hAnsiTheme="minorEastAsia" w:hint="eastAsia"/>
          <w:bCs/>
          <w:szCs w:val="21"/>
        </w:rPr>
        <w:t>基金份额持有人大会的召开；</w:t>
      </w:r>
    </w:p>
    <w:p w14:paraId="6E93A0CB"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w:t>
      </w:r>
      <w:r w:rsidR="00847EB9" w:rsidRPr="00487553">
        <w:rPr>
          <w:rFonts w:asciiTheme="minorEastAsia" w:eastAsiaTheme="minorEastAsia" w:hAnsiTheme="minorEastAsia" w:hint="eastAsia"/>
          <w:bCs/>
          <w:szCs w:val="21"/>
        </w:rPr>
        <w:t>终止基金合同；</w:t>
      </w:r>
    </w:p>
    <w:p w14:paraId="308C7971"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w:t>
      </w:r>
      <w:r w:rsidR="00847EB9" w:rsidRPr="00487553">
        <w:rPr>
          <w:rFonts w:asciiTheme="minorEastAsia" w:eastAsiaTheme="minorEastAsia" w:hAnsiTheme="minorEastAsia" w:hint="eastAsia"/>
          <w:bCs/>
          <w:szCs w:val="21"/>
        </w:rPr>
        <w:t>转换基金运作方式；</w:t>
      </w:r>
    </w:p>
    <w:p w14:paraId="181BBAE5"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4、</w:t>
      </w:r>
      <w:r w:rsidR="00847EB9" w:rsidRPr="00487553">
        <w:rPr>
          <w:rFonts w:asciiTheme="minorEastAsia" w:eastAsiaTheme="minorEastAsia" w:hAnsiTheme="minorEastAsia" w:hint="eastAsia"/>
          <w:bCs/>
          <w:szCs w:val="21"/>
        </w:rPr>
        <w:t>更换基金管理人、基金托管人、境外托管人，更换或撤销境外投资顾问；</w:t>
      </w:r>
    </w:p>
    <w:p w14:paraId="7ADDAAAB"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5、</w:t>
      </w:r>
      <w:r w:rsidR="00847EB9" w:rsidRPr="00487553">
        <w:rPr>
          <w:rFonts w:asciiTheme="minorEastAsia" w:eastAsiaTheme="minorEastAsia" w:hAnsiTheme="minorEastAsia" w:hint="eastAsia"/>
          <w:bCs/>
          <w:szCs w:val="21"/>
        </w:rPr>
        <w:t>基金管理人、基金托管人的法定名称、住所发生变更；</w:t>
      </w:r>
    </w:p>
    <w:p w14:paraId="24E96D44"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6、</w:t>
      </w:r>
      <w:r w:rsidR="00847EB9" w:rsidRPr="00487553">
        <w:rPr>
          <w:rFonts w:asciiTheme="minorEastAsia" w:eastAsiaTheme="minorEastAsia" w:hAnsiTheme="minorEastAsia" w:hint="eastAsia"/>
          <w:bCs/>
          <w:szCs w:val="21"/>
        </w:rPr>
        <w:t>基金管理人股东及其出资比例发生变更；</w:t>
      </w:r>
    </w:p>
    <w:p w14:paraId="2A118905"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7、</w:t>
      </w:r>
      <w:r w:rsidR="00847EB9" w:rsidRPr="00487553">
        <w:rPr>
          <w:rFonts w:asciiTheme="minorEastAsia" w:eastAsiaTheme="minorEastAsia" w:hAnsiTheme="minorEastAsia" w:hint="eastAsia"/>
          <w:bCs/>
          <w:szCs w:val="21"/>
        </w:rPr>
        <w:t>基金募集期延长；</w:t>
      </w:r>
    </w:p>
    <w:p w14:paraId="7DC24AF2"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8、</w:t>
      </w:r>
      <w:r w:rsidR="00847EB9" w:rsidRPr="00487553">
        <w:rPr>
          <w:rFonts w:asciiTheme="minorEastAsia" w:eastAsiaTheme="minorEastAsia" w:hAnsiTheme="minorEastAsia" w:hint="eastAsia"/>
          <w:bCs/>
          <w:szCs w:val="21"/>
        </w:rPr>
        <w:t>基金管理人的董事长、总经理及其他高级管理人员、基金经理和基金托管人基金托管部门负责人发生变动；</w:t>
      </w:r>
    </w:p>
    <w:p w14:paraId="21C226B8"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9、</w:t>
      </w:r>
      <w:r w:rsidR="00847EB9" w:rsidRPr="00487553">
        <w:rPr>
          <w:rFonts w:asciiTheme="minorEastAsia" w:eastAsiaTheme="minorEastAsia" w:hAnsiTheme="minorEastAsia" w:hint="eastAsia"/>
          <w:bCs/>
          <w:szCs w:val="21"/>
        </w:rPr>
        <w:t>基金管理人的董事在一年内变更超过百分之五十；</w:t>
      </w:r>
    </w:p>
    <w:p w14:paraId="30541D9D"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10、</w:t>
      </w:r>
      <w:r w:rsidR="00847EB9" w:rsidRPr="00487553">
        <w:rPr>
          <w:rFonts w:asciiTheme="minorEastAsia" w:eastAsiaTheme="minorEastAsia" w:hAnsiTheme="minorEastAsia" w:hint="eastAsia"/>
          <w:bCs/>
          <w:szCs w:val="21"/>
        </w:rPr>
        <w:t>基金管理人、基金托管人基金托管部门的主要业务人员在一年内变动超过百分之三十；</w:t>
      </w:r>
    </w:p>
    <w:p w14:paraId="2600CF6D"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11、</w:t>
      </w:r>
      <w:r w:rsidR="00847EB9" w:rsidRPr="00487553">
        <w:rPr>
          <w:rFonts w:asciiTheme="minorEastAsia" w:eastAsiaTheme="minorEastAsia" w:hAnsiTheme="minorEastAsia" w:hint="eastAsia"/>
          <w:bCs/>
          <w:szCs w:val="21"/>
        </w:rPr>
        <w:t>涉及基金管理人、基金财产、基金托管业务的诉讼；</w:t>
      </w:r>
    </w:p>
    <w:p w14:paraId="082255B4"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12、</w:t>
      </w:r>
      <w:r w:rsidR="00847EB9" w:rsidRPr="00487553">
        <w:rPr>
          <w:rFonts w:asciiTheme="minorEastAsia" w:eastAsiaTheme="minorEastAsia" w:hAnsiTheme="minorEastAsia" w:hint="eastAsia"/>
          <w:bCs/>
          <w:szCs w:val="21"/>
        </w:rPr>
        <w:t>基金管理人、基金托管人的基金托管部门受到监管部门的调查；</w:t>
      </w:r>
    </w:p>
    <w:p w14:paraId="283E8A59"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13、</w:t>
      </w:r>
      <w:r w:rsidR="00847EB9" w:rsidRPr="00487553">
        <w:rPr>
          <w:rFonts w:asciiTheme="minorEastAsia" w:eastAsiaTheme="minorEastAsia" w:hAnsiTheme="minorEastAsia" w:hint="eastAsia"/>
          <w:bCs/>
          <w:szCs w:val="21"/>
        </w:rPr>
        <w:t>基金管理人及其董事、总经理及其他高级管理人员、基金经理受到严重行政处罚，基金托管人及其基金托管部门负责人受到严重行政处罚；</w:t>
      </w:r>
    </w:p>
    <w:p w14:paraId="024E3567"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14、</w:t>
      </w:r>
      <w:r w:rsidR="00847EB9" w:rsidRPr="00487553">
        <w:rPr>
          <w:rFonts w:asciiTheme="minorEastAsia" w:eastAsiaTheme="minorEastAsia" w:hAnsiTheme="minorEastAsia" w:hint="eastAsia"/>
          <w:bCs/>
          <w:szCs w:val="21"/>
        </w:rPr>
        <w:t>重大关联交易事项；</w:t>
      </w:r>
    </w:p>
    <w:p w14:paraId="0D636552"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15、</w:t>
      </w:r>
      <w:r w:rsidR="00847EB9" w:rsidRPr="00487553">
        <w:rPr>
          <w:rFonts w:asciiTheme="minorEastAsia" w:eastAsiaTheme="minorEastAsia" w:hAnsiTheme="minorEastAsia" w:hint="eastAsia"/>
          <w:bCs/>
          <w:szCs w:val="21"/>
        </w:rPr>
        <w:t>基金收益分配事项；</w:t>
      </w:r>
    </w:p>
    <w:p w14:paraId="3932B769"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16、</w:t>
      </w:r>
      <w:r w:rsidR="00847EB9" w:rsidRPr="00487553">
        <w:rPr>
          <w:rFonts w:asciiTheme="minorEastAsia" w:eastAsiaTheme="minorEastAsia" w:hAnsiTheme="minorEastAsia" w:hint="eastAsia"/>
          <w:bCs/>
          <w:szCs w:val="21"/>
        </w:rPr>
        <w:t>管理费、托管费等费用计提标准、计提方式和费率发生变更；</w:t>
      </w:r>
    </w:p>
    <w:p w14:paraId="69B2FF99"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17、</w:t>
      </w:r>
      <w:r w:rsidR="00847EB9" w:rsidRPr="00487553">
        <w:rPr>
          <w:rFonts w:asciiTheme="minorEastAsia" w:eastAsiaTheme="minorEastAsia" w:hAnsiTheme="minorEastAsia" w:hint="eastAsia"/>
          <w:bCs/>
          <w:szCs w:val="21"/>
        </w:rPr>
        <w:t>基金份额净值计价错误达基金份额净值0.5%；</w:t>
      </w:r>
    </w:p>
    <w:p w14:paraId="1304833A"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18、</w:t>
      </w:r>
      <w:r w:rsidR="00847EB9" w:rsidRPr="00487553">
        <w:rPr>
          <w:rFonts w:asciiTheme="minorEastAsia" w:eastAsiaTheme="minorEastAsia" w:hAnsiTheme="minorEastAsia" w:hint="eastAsia"/>
          <w:bCs/>
          <w:szCs w:val="21"/>
        </w:rPr>
        <w:t>基金改聘会计师事务所；</w:t>
      </w:r>
    </w:p>
    <w:p w14:paraId="2F2AF81A"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19、</w:t>
      </w:r>
      <w:r w:rsidR="00847EB9" w:rsidRPr="00487553">
        <w:rPr>
          <w:rFonts w:asciiTheme="minorEastAsia" w:eastAsiaTheme="minorEastAsia" w:hAnsiTheme="minorEastAsia" w:hint="eastAsia"/>
          <w:bCs/>
          <w:szCs w:val="21"/>
        </w:rPr>
        <w:t>变更基金</w:t>
      </w:r>
      <w:r w:rsidR="005D6676" w:rsidRPr="00487553">
        <w:rPr>
          <w:rFonts w:asciiTheme="minorEastAsia" w:eastAsiaTheme="minorEastAsia" w:hAnsiTheme="minorEastAsia" w:hint="eastAsia"/>
          <w:bCs/>
          <w:szCs w:val="21"/>
        </w:rPr>
        <w:t>销售</w:t>
      </w:r>
      <w:r w:rsidR="00847EB9" w:rsidRPr="00487553">
        <w:rPr>
          <w:rFonts w:asciiTheme="minorEastAsia" w:eastAsiaTheme="minorEastAsia" w:hAnsiTheme="minorEastAsia" w:hint="eastAsia"/>
          <w:bCs/>
          <w:szCs w:val="21"/>
        </w:rPr>
        <w:t>机构；</w:t>
      </w:r>
    </w:p>
    <w:p w14:paraId="1E7CC17C"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20、</w:t>
      </w:r>
      <w:r w:rsidR="00847EB9" w:rsidRPr="00487553">
        <w:rPr>
          <w:rFonts w:asciiTheme="minorEastAsia" w:eastAsiaTheme="minorEastAsia" w:hAnsiTheme="minorEastAsia" w:hint="eastAsia"/>
          <w:bCs/>
          <w:szCs w:val="21"/>
        </w:rPr>
        <w:t>更换基金注册登记机构；</w:t>
      </w:r>
    </w:p>
    <w:p w14:paraId="331762D4"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21、</w:t>
      </w:r>
      <w:r w:rsidR="00847EB9" w:rsidRPr="00487553">
        <w:rPr>
          <w:rFonts w:asciiTheme="minorEastAsia" w:eastAsiaTheme="minorEastAsia" w:hAnsiTheme="minorEastAsia" w:hint="eastAsia"/>
          <w:bCs/>
          <w:szCs w:val="21"/>
        </w:rPr>
        <w:t>基金开始办理申购、赎回；</w:t>
      </w:r>
    </w:p>
    <w:p w14:paraId="23371C02"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22、</w:t>
      </w:r>
      <w:r w:rsidR="00847EB9" w:rsidRPr="00487553">
        <w:rPr>
          <w:rFonts w:asciiTheme="minorEastAsia" w:eastAsiaTheme="minorEastAsia" w:hAnsiTheme="minorEastAsia" w:hint="eastAsia"/>
          <w:bCs/>
          <w:szCs w:val="21"/>
        </w:rPr>
        <w:t>基金申购、赎回费率及其收费方式发生变更；</w:t>
      </w:r>
    </w:p>
    <w:p w14:paraId="143A4D06"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23、</w:t>
      </w:r>
      <w:r w:rsidR="00847EB9" w:rsidRPr="00487553">
        <w:rPr>
          <w:rFonts w:asciiTheme="minorEastAsia" w:eastAsiaTheme="minorEastAsia" w:hAnsiTheme="minorEastAsia" w:hint="eastAsia"/>
          <w:bCs/>
          <w:szCs w:val="21"/>
        </w:rPr>
        <w:t>基金发生巨额赎回并延期支付；</w:t>
      </w:r>
    </w:p>
    <w:p w14:paraId="1BA99FEC"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24、</w:t>
      </w:r>
      <w:r w:rsidR="00847EB9" w:rsidRPr="00487553">
        <w:rPr>
          <w:rFonts w:asciiTheme="minorEastAsia" w:eastAsiaTheme="minorEastAsia" w:hAnsiTheme="minorEastAsia" w:hint="eastAsia"/>
          <w:bCs/>
          <w:szCs w:val="21"/>
        </w:rPr>
        <w:t>基金连续发生巨额赎回并暂停接受赎回申请；</w:t>
      </w:r>
    </w:p>
    <w:p w14:paraId="5568D1D0"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25、</w:t>
      </w:r>
      <w:r w:rsidR="00847EB9" w:rsidRPr="00487553">
        <w:rPr>
          <w:rFonts w:asciiTheme="minorEastAsia" w:eastAsiaTheme="minorEastAsia" w:hAnsiTheme="minorEastAsia" w:hint="eastAsia"/>
          <w:bCs/>
          <w:szCs w:val="21"/>
        </w:rPr>
        <w:t>基金暂停接受申购、赎回申请后重新接受申购、赎回；</w:t>
      </w:r>
    </w:p>
    <w:p w14:paraId="3145F16E"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26、</w:t>
      </w:r>
      <w:r w:rsidR="00847EB9" w:rsidRPr="00487553">
        <w:rPr>
          <w:rFonts w:asciiTheme="minorEastAsia" w:eastAsiaTheme="minorEastAsia" w:hAnsiTheme="minorEastAsia" w:hint="eastAsia"/>
          <w:bCs/>
          <w:szCs w:val="21"/>
        </w:rPr>
        <w:t>基金运作期间如遇境外投资顾问主要负责人员变动，基金管理人认为该事件有可能对基金投资产生重大影响；</w:t>
      </w:r>
    </w:p>
    <w:p w14:paraId="634BCCC5"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lastRenderedPageBreak/>
        <w:t>27、</w:t>
      </w:r>
      <w:r w:rsidR="00847EB9" w:rsidRPr="00487553">
        <w:rPr>
          <w:rFonts w:asciiTheme="minorEastAsia" w:eastAsiaTheme="minorEastAsia" w:hAnsiTheme="minorEastAsia" w:hint="eastAsia"/>
          <w:bCs/>
          <w:szCs w:val="21"/>
        </w:rPr>
        <w:t>本基金变更标的指数；</w:t>
      </w:r>
    </w:p>
    <w:p w14:paraId="6DFB8A2A" w14:textId="77777777" w:rsidR="00847EB9"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28、</w:t>
      </w:r>
      <w:r w:rsidR="00847EB9" w:rsidRPr="00487553">
        <w:rPr>
          <w:rFonts w:asciiTheme="minorEastAsia" w:eastAsiaTheme="minorEastAsia" w:hAnsiTheme="minorEastAsia" w:hint="eastAsia"/>
          <w:bCs/>
          <w:szCs w:val="21"/>
        </w:rPr>
        <w:t>本基金推出新业务或服务；</w:t>
      </w:r>
    </w:p>
    <w:p w14:paraId="65F05CF9" w14:textId="77777777" w:rsidR="00275546" w:rsidRPr="00487553" w:rsidRDefault="000D10F3"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29、</w:t>
      </w:r>
      <w:r w:rsidR="00FC741D" w:rsidRPr="00487553">
        <w:rPr>
          <w:rFonts w:asciiTheme="minorEastAsia" w:eastAsiaTheme="minorEastAsia" w:hAnsiTheme="minorEastAsia" w:hint="eastAsia"/>
          <w:bCs/>
          <w:szCs w:val="21"/>
        </w:rPr>
        <w:t>本基金增减外币基金份额类别</w:t>
      </w:r>
      <w:r w:rsidR="00275546" w:rsidRPr="00487553">
        <w:rPr>
          <w:rFonts w:asciiTheme="minorEastAsia" w:eastAsiaTheme="minorEastAsia" w:hAnsiTheme="minorEastAsia" w:hint="eastAsia"/>
          <w:bCs/>
          <w:szCs w:val="21"/>
        </w:rPr>
        <w:t>；</w:t>
      </w:r>
    </w:p>
    <w:p w14:paraId="512BB611" w14:textId="77777777" w:rsidR="00377D45" w:rsidRPr="00487553" w:rsidRDefault="00377D45"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30、发生涉及基金申购、赎回事项调整或潜在影响投资者赎回等重大事项时；</w:t>
      </w:r>
    </w:p>
    <w:p w14:paraId="14F47C73" w14:textId="29258881" w:rsidR="00847EB9" w:rsidRPr="00487553" w:rsidRDefault="00275546"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3</w:t>
      </w:r>
      <w:r w:rsidR="00377D45" w:rsidRPr="00487553">
        <w:rPr>
          <w:rFonts w:asciiTheme="minorEastAsia" w:eastAsiaTheme="minorEastAsia" w:hAnsiTheme="minorEastAsia" w:hint="eastAsia"/>
          <w:bCs/>
          <w:szCs w:val="21"/>
        </w:rPr>
        <w:t>1</w:t>
      </w:r>
      <w:r w:rsidRPr="00487553">
        <w:rPr>
          <w:rFonts w:asciiTheme="minorEastAsia" w:eastAsiaTheme="minorEastAsia" w:hAnsiTheme="minorEastAsia" w:hint="eastAsia"/>
          <w:bCs/>
          <w:szCs w:val="21"/>
        </w:rPr>
        <w:t>、</w:t>
      </w:r>
      <w:r w:rsidR="00847EB9" w:rsidRPr="00487553">
        <w:rPr>
          <w:rFonts w:asciiTheme="minorEastAsia" w:eastAsiaTheme="minorEastAsia" w:hAnsiTheme="minorEastAsia" w:hint="eastAsia"/>
          <w:bCs/>
          <w:szCs w:val="21"/>
        </w:rPr>
        <w:t>中国证监会规定的其他事项。</w:t>
      </w:r>
    </w:p>
    <w:p w14:paraId="02570C31"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6" w:name="_Toc20148488"/>
      <w:r w:rsidRPr="00487553">
        <w:rPr>
          <w:rFonts w:asciiTheme="minorEastAsia" w:eastAsiaTheme="minorEastAsia" w:hAnsiTheme="minorEastAsia" w:hint="eastAsia"/>
        </w:rPr>
        <w:t>澄清公告</w:t>
      </w:r>
      <w:bookmarkEnd w:id="686"/>
    </w:p>
    <w:p w14:paraId="607B610E"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在基金存续期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78474B33"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7" w:name="_Toc20148489"/>
      <w:r w:rsidRPr="00487553">
        <w:rPr>
          <w:rFonts w:asciiTheme="minorEastAsia" w:eastAsiaTheme="minorEastAsia" w:hAnsiTheme="minorEastAsia" w:hint="eastAsia"/>
        </w:rPr>
        <w:t>中国证监会规定的其他信息</w:t>
      </w:r>
      <w:bookmarkEnd w:id="687"/>
    </w:p>
    <w:p w14:paraId="621CD0B2" w14:textId="77777777" w:rsidR="00847EB9" w:rsidRPr="00487553" w:rsidRDefault="00847EB9" w:rsidP="00D94E68">
      <w:pPr>
        <w:pStyle w:val="2"/>
        <w:numPr>
          <w:ilvl w:val="0"/>
          <w:numId w:val="54"/>
        </w:numPr>
        <w:snapToGrid w:val="0"/>
        <w:spacing w:beforeLines="0" w:afterLines="0" w:line="360" w:lineRule="auto"/>
        <w:ind w:firstLineChars="0"/>
        <w:rPr>
          <w:rFonts w:asciiTheme="minorEastAsia" w:eastAsiaTheme="minorEastAsia" w:hAnsiTheme="minorEastAsia"/>
        </w:rPr>
      </w:pPr>
      <w:bookmarkStart w:id="688" w:name="_Toc20148490"/>
      <w:r w:rsidRPr="00487553">
        <w:rPr>
          <w:rFonts w:asciiTheme="minorEastAsia" w:eastAsiaTheme="minorEastAsia" w:hAnsiTheme="minorEastAsia" w:hint="eastAsia"/>
        </w:rPr>
        <w:t>信息披露文件的存放与查阅</w:t>
      </w:r>
      <w:bookmarkEnd w:id="688"/>
    </w:p>
    <w:p w14:paraId="067F2F88"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招募说明书公布后，应当分别置备于基金管理人、基金托管人和销售机构的住所，投资者可免费查阅。在支付工本费后，可在合理时间内取得上述文件复印件。</w:t>
      </w:r>
    </w:p>
    <w:p w14:paraId="584F3957" w14:textId="306EC975"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基金定期报告公布后，应当分别置备于基金管理人和基金托管人的住所，投资者可免费查阅。在支付工本费后，可在合理时间内取得上述文件复印件。</w:t>
      </w:r>
    </w:p>
    <w:p w14:paraId="72579CA3" w14:textId="77777777" w:rsidR="00847EB9" w:rsidRPr="00487553" w:rsidRDefault="00847EB9" w:rsidP="00D94E68">
      <w:pPr>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基金管理人和基金托管人应保证文本的内容与所公告的内容完全一致。</w:t>
      </w:r>
    </w:p>
    <w:p w14:paraId="262117D8" w14:textId="7777777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689" w:name="_Toc308697583"/>
      <w:bookmarkStart w:id="690" w:name="_Toc309286105"/>
      <w:bookmarkStart w:id="691" w:name="_Toc308697584"/>
      <w:bookmarkStart w:id="692" w:name="_Toc309286106"/>
      <w:bookmarkStart w:id="693" w:name="_Toc308697585"/>
      <w:bookmarkStart w:id="694" w:name="_Toc309286107"/>
      <w:bookmarkStart w:id="695" w:name="_Toc308697586"/>
      <w:bookmarkStart w:id="696" w:name="_Toc309286108"/>
      <w:bookmarkStart w:id="697" w:name="_Toc308697587"/>
      <w:bookmarkStart w:id="698" w:name="_Toc309286109"/>
      <w:bookmarkStart w:id="699" w:name="_Toc308697588"/>
      <w:bookmarkStart w:id="700" w:name="_Toc309286110"/>
      <w:bookmarkStart w:id="701" w:name="_Toc308697589"/>
      <w:bookmarkStart w:id="702" w:name="_Toc309286111"/>
      <w:bookmarkStart w:id="703" w:name="_Toc308697590"/>
      <w:bookmarkStart w:id="704" w:name="_Toc309286112"/>
      <w:bookmarkStart w:id="705" w:name="_Toc308697591"/>
      <w:bookmarkStart w:id="706" w:name="_Toc309286113"/>
      <w:bookmarkStart w:id="707" w:name="_Toc308697592"/>
      <w:bookmarkStart w:id="708" w:name="_Toc309286114"/>
      <w:bookmarkStart w:id="709" w:name="_Toc308697593"/>
      <w:bookmarkStart w:id="710" w:name="_Toc309286115"/>
      <w:bookmarkStart w:id="711" w:name="_Toc308697594"/>
      <w:bookmarkStart w:id="712" w:name="_Toc309286116"/>
      <w:bookmarkStart w:id="713" w:name="_Toc308697595"/>
      <w:bookmarkStart w:id="714" w:name="_Toc309286117"/>
      <w:bookmarkStart w:id="715" w:name="_Toc308697596"/>
      <w:bookmarkStart w:id="716" w:name="_Toc309286118"/>
      <w:bookmarkStart w:id="717" w:name="_Toc308697597"/>
      <w:bookmarkStart w:id="718" w:name="_Toc309286119"/>
      <w:bookmarkStart w:id="719" w:name="_Toc308697598"/>
      <w:bookmarkStart w:id="720" w:name="_Toc309286120"/>
      <w:bookmarkStart w:id="721" w:name="_Toc308697599"/>
      <w:bookmarkStart w:id="722" w:name="_Toc309286121"/>
      <w:bookmarkStart w:id="723" w:name="_Toc308697600"/>
      <w:bookmarkStart w:id="724" w:name="_Toc309286122"/>
      <w:bookmarkStart w:id="725" w:name="_Toc308697601"/>
      <w:bookmarkStart w:id="726" w:name="_Toc309286123"/>
      <w:bookmarkStart w:id="727" w:name="_Toc308697602"/>
      <w:bookmarkStart w:id="728" w:name="_Toc309286124"/>
      <w:bookmarkStart w:id="729" w:name="_Toc308697603"/>
      <w:bookmarkStart w:id="730" w:name="_Toc309286125"/>
      <w:bookmarkStart w:id="731" w:name="_Toc308697604"/>
      <w:bookmarkStart w:id="732" w:name="_Toc309286126"/>
      <w:bookmarkStart w:id="733" w:name="_Toc308697605"/>
      <w:bookmarkStart w:id="734" w:name="_Toc309286127"/>
      <w:bookmarkStart w:id="735" w:name="_Toc308697606"/>
      <w:bookmarkStart w:id="736" w:name="_Toc309286128"/>
      <w:bookmarkStart w:id="737" w:name="_Toc308697607"/>
      <w:bookmarkStart w:id="738" w:name="_Toc309286129"/>
      <w:bookmarkStart w:id="739" w:name="_Toc308697608"/>
      <w:bookmarkStart w:id="740" w:name="_Toc309286130"/>
      <w:bookmarkStart w:id="741" w:name="_Toc308697609"/>
      <w:bookmarkStart w:id="742" w:name="_Toc309286131"/>
      <w:bookmarkStart w:id="743" w:name="_Toc308697610"/>
      <w:bookmarkStart w:id="744" w:name="_Toc309286132"/>
      <w:bookmarkStart w:id="745" w:name="_Toc308697611"/>
      <w:bookmarkStart w:id="746" w:name="_Toc309286133"/>
      <w:bookmarkStart w:id="747" w:name="_Toc308697612"/>
      <w:bookmarkStart w:id="748" w:name="_Toc309286134"/>
      <w:bookmarkStart w:id="749" w:name="_Toc308697613"/>
      <w:bookmarkStart w:id="750" w:name="_Toc309286135"/>
      <w:bookmarkStart w:id="751" w:name="_Toc308697614"/>
      <w:bookmarkStart w:id="752" w:name="_Toc309286136"/>
      <w:bookmarkStart w:id="753" w:name="_Toc308697615"/>
      <w:bookmarkStart w:id="754" w:name="_Toc309286137"/>
      <w:bookmarkStart w:id="755" w:name="_Toc308697616"/>
      <w:bookmarkStart w:id="756" w:name="_Toc309286138"/>
      <w:bookmarkStart w:id="757" w:name="_Toc308697617"/>
      <w:bookmarkStart w:id="758" w:name="_Toc309286139"/>
      <w:bookmarkStart w:id="759" w:name="_Toc308697618"/>
      <w:bookmarkStart w:id="760" w:name="_Toc309286140"/>
      <w:bookmarkStart w:id="761" w:name="_Toc308697619"/>
      <w:bookmarkStart w:id="762" w:name="_Toc309286141"/>
      <w:bookmarkStart w:id="763" w:name="_Toc308697620"/>
      <w:bookmarkStart w:id="764" w:name="_Toc309286142"/>
      <w:bookmarkStart w:id="765" w:name="_Toc308697621"/>
      <w:bookmarkStart w:id="766" w:name="_Toc309286143"/>
      <w:bookmarkStart w:id="767" w:name="_Toc308697622"/>
      <w:bookmarkStart w:id="768" w:name="_Toc309286144"/>
      <w:bookmarkStart w:id="769" w:name="_Toc308697623"/>
      <w:bookmarkStart w:id="770" w:name="_Toc309286145"/>
      <w:bookmarkStart w:id="771" w:name="_Toc308697624"/>
      <w:bookmarkStart w:id="772" w:name="_Toc309286146"/>
      <w:bookmarkStart w:id="773" w:name="_Toc308697625"/>
      <w:bookmarkStart w:id="774" w:name="_Toc309286147"/>
      <w:bookmarkStart w:id="775" w:name="_Toc308697626"/>
      <w:bookmarkStart w:id="776" w:name="_Toc309286148"/>
      <w:bookmarkStart w:id="777" w:name="_Toc308697627"/>
      <w:bookmarkStart w:id="778" w:name="_Toc309286149"/>
      <w:bookmarkStart w:id="779" w:name="_Toc308697628"/>
      <w:bookmarkStart w:id="780" w:name="_Toc309286150"/>
      <w:bookmarkStart w:id="781" w:name="_Toc308697629"/>
      <w:bookmarkStart w:id="782" w:name="_Toc309286151"/>
      <w:bookmarkStart w:id="783" w:name="_Toc308697630"/>
      <w:bookmarkStart w:id="784" w:name="_Toc309286152"/>
      <w:bookmarkStart w:id="785" w:name="_Toc308697631"/>
      <w:bookmarkStart w:id="786" w:name="_Toc309286153"/>
      <w:bookmarkStart w:id="787" w:name="_Toc308697632"/>
      <w:bookmarkStart w:id="788" w:name="_Toc309286154"/>
      <w:bookmarkStart w:id="789" w:name="_Toc308697633"/>
      <w:bookmarkStart w:id="790" w:name="_Toc309286155"/>
      <w:bookmarkStart w:id="791" w:name="_Toc308697634"/>
      <w:bookmarkStart w:id="792" w:name="_Toc309286156"/>
      <w:bookmarkStart w:id="793" w:name="_Toc308697635"/>
      <w:bookmarkStart w:id="794" w:name="_Toc309286157"/>
      <w:bookmarkStart w:id="795" w:name="_Toc308697636"/>
      <w:bookmarkStart w:id="796" w:name="_Toc309286158"/>
      <w:bookmarkStart w:id="797" w:name="_Toc308697637"/>
      <w:bookmarkStart w:id="798" w:name="_Toc309286159"/>
      <w:bookmarkStart w:id="799" w:name="_Toc308697638"/>
      <w:bookmarkStart w:id="800" w:name="_Toc309286160"/>
      <w:bookmarkStart w:id="801" w:name="_Toc308697639"/>
      <w:bookmarkStart w:id="802" w:name="_Toc309286161"/>
      <w:bookmarkStart w:id="803" w:name="_Toc308697640"/>
      <w:bookmarkStart w:id="804" w:name="_Toc309286162"/>
      <w:bookmarkStart w:id="805" w:name="_Toc308697641"/>
      <w:bookmarkStart w:id="806" w:name="_Toc309286163"/>
      <w:bookmarkStart w:id="807" w:name="_Toc308697642"/>
      <w:bookmarkStart w:id="808" w:name="_Toc309286164"/>
      <w:bookmarkStart w:id="809" w:name="_Toc308697643"/>
      <w:bookmarkStart w:id="810" w:name="_Toc309286165"/>
      <w:bookmarkStart w:id="811" w:name="_Toc308697644"/>
      <w:bookmarkStart w:id="812" w:name="_Toc309286166"/>
      <w:bookmarkStart w:id="813" w:name="_Toc308697645"/>
      <w:bookmarkStart w:id="814" w:name="_Toc309286167"/>
      <w:bookmarkStart w:id="815" w:name="_Toc308697646"/>
      <w:bookmarkStart w:id="816" w:name="_Toc309286168"/>
      <w:bookmarkStart w:id="817" w:name="_Toc308697647"/>
      <w:bookmarkStart w:id="818" w:name="_Toc309286169"/>
      <w:bookmarkStart w:id="819" w:name="_Toc308697648"/>
      <w:bookmarkStart w:id="820" w:name="_Toc309286170"/>
      <w:bookmarkStart w:id="821" w:name="_Toc308697649"/>
      <w:bookmarkStart w:id="822" w:name="_Toc309286171"/>
      <w:bookmarkStart w:id="823" w:name="_Toc308697650"/>
      <w:bookmarkStart w:id="824" w:name="_Toc309286172"/>
      <w:bookmarkStart w:id="825" w:name="_Toc308697651"/>
      <w:bookmarkStart w:id="826" w:name="_Toc309286173"/>
      <w:bookmarkStart w:id="827" w:name="_Toc308697652"/>
      <w:bookmarkStart w:id="828" w:name="_Toc309286174"/>
      <w:bookmarkStart w:id="829" w:name="_Toc308697653"/>
      <w:bookmarkStart w:id="830" w:name="_Toc309286175"/>
      <w:bookmarkStart w:id="831" w:name="_Toc308697654"/>
      <w:bookmarkStart w:id="832" w:name="_Toc309286176"/>
      <w:bookmarkStart w:id="833" w:name="_Toc308697655"/>
      <w:bookmarkStart w:id="834" w:name="_Toc309286177"/>
      <w:bookmarkStart w:id="835" w:name="_Toc308697656"/>
      <w:bookmarkStart w:id="836" w:name="_Toc309286178"/>
      <w:bookmarkStart w:id="837" w:name="_Toc308697657"/>
      <w:bookmarkStart w:id="838" w:name="_Toc309286179"/>
      <w:bookmarkStart w:id="839" w:name="_Toc308697658"/>
      <w:bookmarkStart w:id="840" w:name="_Toc309286180"/>
      <w:bookmarkStart w:id="841" w:name="_Toc308697659"/>
      <w:bookmarkStart w:id="842" w:name="_Toc309286181"/>
      <w:bookmarkStart w:id="843" w:name="_Toc308697660"/>
      <w:bookmarkStart w:id="844" w:name="_Toc309286182"/>
      <w:bookmarkStart w:id="845" w:name="_Toc308697661"/>
      <w:bookmarkStart w:id="846" w:name="_Toc309286183"/>
      <w:bookmarkStart w:id="847" w:name="_Toc308697662"/>
      <w:bookmarkStart w:id="848" w:name="_Toc309286184"/>
      <w:bookmarkStart w:id="849" w:name="_Toc308697663"/>
      <w:bookmarkStart w:id="850" w:name="_Toc309286185"/>
      <w:bookmarkStart w:id="851" w:name="_Toc308697664"/>
      <w:bookmarkStart w:id="852" w:name="_Toc309286186"/>
      <w:bookmarkStart w:id="853" w:name="_Toc308697665"/>
      <w:bookmarkStart w:id="854" w:name="_Toc309286187"/>
      <w:bookmarkStart w:id="855" w:name="_Toc308697666"/>
      <w:bookmarkStart w:id="856" w:name="_Toc309286188"/>
      <w:bookmarkStart w:id="857" w:name="_Toc308697667"/>
      <w:bookmarkStart w:id="858" w:name="_Toc309286189"/>
      <w:bookmarkStart w:id="859" w:name="_Toc308697668"/>
      <w:bookmarkStart w:id="860" w:name="_Toc309286190"/>
      <w:bookmarkStart w:id="861" w:name="_Toc308697669"/>
      <w:bookmarkStart w:id="862" w:name="_Toc309286191"/>
      <w:bookmarkStart w:id="863" w:name="_Toc308697670"/>
      <w:bookmarkStart w:id="864" w:name="_Toc309286192"/>
      <w:bookmarkStart w:id="865" w:name="_Toc308697671"/>
      <w:bookmarkStart w:id="866" w:name="_Toc309286193"/>
      <w:bookmarkStart w:id="867" w:name="_Toc308697672"/>
      <w:bookmarkStart w:id="868" w:name="_Toc309286194"/>
      <w:bookmarkStart w:id="869" w:name="_Toc308697673"/>
      <w:bookmarkStart w:id="870" w:name="_Toc309286195"/>
      <w:bookmarkStart w:id="871" w:name="_Toc308697674"/>
      <w:bookmarkStart w:id="872" w:name="_Toc309286196"/>
      <w:bookmarkStart w:id="873" w:name="_Toc308697675"/>
      <w:bookmarkStart w:id="874" w:name="_Toc309286197"/>
      <w:bookmarkStart w:id="875" w:name="_Toc308697676"/>
      <w:bookmarkStart w:id="876" w:name="_Toc309286198"/>
      <w:bookmarkStart w:id="877" w:name="_Toc308697677"/>
      <w:bookmarkStart w:id="878" w:name="_Toc309286199"/>
      <w:bookmarkStart w:id="879" w:name="_Toc308697678"/>
      <w:bookmarkStart w:id="880" w:name="_Toc309286200"/>
      <w:bookmarkStart w:id="881" w:name="_Toc308697679"/>
      <w:bookmarkStart w:id="882" w:name="_Toc309286201"/>
      <w:bookmarkStart w:id="883" w:name="_Toc308697680"/>
      <w:bookmarkStart w:id="884" w:name="_Toc309286202"/>
      <w:bookmarkStart w:id="885" w:name="_Toc308697681"/>
      <w:bookmarkStart w:id="886" w:name="_Toc309286203"/>
      <w:bookmarkStart w:id="887" w:name="_Toc308697682"/>
      <w:bookmarkStart w:id="888" w:name="_Toc309286204"/>
      <w:bookmarkStart w:id="889" w:name="_Toc308697683"/>
      <w:bookmarkStart w:id="890" w:name="_Toc309286205"/>
      <w:bookmarkStart w:id="891" w:name="_Toc308697684"/>
      <w:bookmarkStart w:id="892" w:name="_Toc309286206"/>
      <w:bookmarkStart w:id="893" w:name="_Toc308697685"/>
      <w:bookmarkStart w:id="894" w:name="_Toc309286207"/>
      <w:bookmarkStart w:id="895" w:name="_Toc20148491"/>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487553">
        <w:rPr>
          <w:rFonts w:asciiTheme="minorEastAsia" w:eastAsiaTheme="minorEastAsia" w:hAnsiTheme="minorEastAsia"/>
        </w:rPr>
        <w:lastRenderedPageBreak/>
        <w:t>基金合同的</w:t>
      </w:r>
      <w:r w:rsidR="007104B8" w:rsidRPr="00487553">
        <w:rPr>
          <w:rFonts w:asciiTheme="minorEastAsia" w:eastAsiaTheme="minorEastAsia" w:hAnsiTheme="minorEastAsia"/>
        </w:rPr>
        <w:t>变更、</w:t>
      </w:r>
      <w:r w:rsidRPr="00487553">
        <w:rPr>
          <w:rFonts w:asciiTheme="minorEastAsia" w:eastAsiaTheme="minorEastAsia" w:hAnsiTheme="minorEastAsia"/>
        </w:rPr>
        <w:t>终止与基金财产的清算</w:t>
      </w:r>
      <w:bookmarkEnd w:id="895"/>
    </w:p>
    <w:p w14:paraId="5E9C9268" w14:textId="77777777" w:rsidR="00372351" w:rsidRPr="00487553" w:rsidRDefault="00372351" w:rsidP="00D94E68">
      <w:pPr>
        <w:pStyle w:val="2"/>
        <w:numPr>
          <w:ilvl w:val="0"/>
          <w:numId w:val="55"/>
        </w:numPr>
        <w:snapToGrid w:val="0"/>
        <w:spacing w:beforeLines="0" w:afterLines="0" w:line="360" w:lineRule="auto"/>
        <w:ind w:firstLineChars="0"/>
        <w:rPr>
          <w:rFonts w:asciiTheme="minorEastAsia" w:eastAsiaTheme="minorEastAsia" w:hAnsiTheme="minorEastAsia"/>
        </w:rPr>
      </w:pPr>
      <w:bookmarkStart w:id="896" w:name="_Toc97031319"/>
      <w:bookmarkStart w:id="897" w:name="_Toc97107279"/>
      <w:bookmarkStart w:id="898" w:name="_Toc20148492"/>
      <w:bookmarkEnd w:id="896"/>
      <w:bookmarkEnd w:id="897"/>
      <w:r w:rsidRPr="00487553">
        <w:rPr>
          <w:rFonts w:asciiTheme="minorEastAsia" w:eastAsiaTheme="minorEastAsia" w:hAnsiTheme="minorEastAsia" w:hint="eastAsia"/>
        </w:rPr>
        <w:t>基金合同的变更</w:t>
      </w:r>
      <w:bookmarkEnd w:id="898"/>
    </w:p>
    <w:p w14:paraId="37A990EC" w14:textId="77777777" w:rsidR="002D72C0" w:rsidRPr="00487553" w:rsidRDefault="002D72C0"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基金合同变更</w:t>
      </w:r>
      <w:r w:rsidRPr="00487553">
        <w:rPr>
          <w:rFonts w:asciiTheme="minorEastAsia" w:eastAsiaTheme="minorEastAsia" w:hAnsiTheme="minorEastAsia" w:hint="eastAsia"/>
          <w:kern w:val="0"/>
          <w:szCs w:val="21"/>
        </w:rPr>
        <w:t>涉及</w:t>
      </w:r>
      <w:r w:rsidR="001061EA" w:rsidRPr="00487553">
        <w:rPr>
          <w:rFonts w:asciiTheme="minorEastAsia" w:eastAsiaTheme="minorEastAsia" w:hAnsiTheme="minorEastAsia" w:hint="eastAsia"/>
          <w:kern w:val="0"/>
          <w:szCs w:val="21"/>
        </w:rPr>
        <w:t>基金合同</w:t>
      </w:r>
      <w:r w:rsidRPr="00487553">
        <w:rPr>
          <w:rFonts w:asciiTheme="minorEastAsia" w:eastAsiaTheme="minorEastAsia" w:hAnsiTheme="minorEastAsia" w:hint="eastAsia"/>
          <w:kern w:val="0"/>
          <w:szCs w:val="21"/>
        </w:rPr>
        <w:t>第八节第（二）项规定的</w:t>
      </w:r>
      <w:r w:rsidRPr="00487553">
        <w:rPr>
          <w:rFonts w:asciiTheme="minorEastAsia" w:eastAsiaTheme="minorEastAsia" w:hAnsiTheme="minorEastAsia"/>
          <w:kern w:val="0"/>
          <w:szCs w:val="21"/>
        </w:rPr>
        <w:t>对基金合同当事人权利、义务产生重大影响的，应经基金份额持有人大会决议同意。</w:t>
      </w:r>
      <w:r w:rsidRPr="00487553">
        <w:rPr>
          <w:rFonts w:asciiTheme="minorEastAsia" w:eastAsiaTheme="minorEastAsia" w:hAnsiTheme="minorEastAsia" w:hint="eastAsia"/>
          <w:kern w:val="0"/>
          <w:szCs w:val="21"/>
        </w:rPr>
        <w:t>变更基金合同的基金份额持有人大会决议应报中国证监会核准，并自中国证监会核准之日起生效。</w:t>
      </w:r>
    </w:p>
    <w:p w14:paraId="7F299236" w14:textId="77777777" w:rsidR="00372351" w:rsidRPr="00487553" w:rsidRDefault="002D72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2A43D5" w:rsidRPr="00487553">
        <w:rPr>
          <w:rFonts w:asciiTheme="minorEastAsia" w:eastAsiaTheme="minorEastAsia" w:hAnsiTheme="minorEastAsia" w:hint="eastAsia"/>
          <w:kern w:val="0"/>
          <w:szCs w:val="21"/>
        </w:rPr>
        <w:t>、但如因相应的法律法规发生变动并属于</w:t>
      </w:r>
      <w:r w:rsidRPr="00487553">
        <w:rPr>
          <w:rFonts w:asciiTheme="minorEastAsia" w:eastAsiaTheme="minorEastAsia" w:hAnsiTheme="minorEastAsia" w:hint="eastAsia"/>
          <w:kern w:val="0"/>
          <w:szCs w:val="21"/>
        </w:rPr>
        <w:t>基金合同必须遵照进行修改的情形，或者基金</w:t>
      </w:r>
      <w:r w:rsidR="002A43D5" w:rsidRPr="00487553">
        <w:rPr>
          <w:rFonts w:asciiTheme="minorEastAsia" w:eastAsiaTheme="minorEastAsia" w:hAnsiTheme="minorEastAsia" w:hint="eastAsia"/>
          <w:kern w:val="0"/>
          <w:szCs w:val="21"/>
        </w:rPr>
        <w:t>合同的修改不涉及</w:t>
      </w:r>
      <w:r w:rsidRPr="00487553">
        <w:rPr>
          <w:rFonts w:asciiTheme="minorEastAsia" w:eastAsiaTheme="minorEastAsia" w:hAnsiTheme="minorEastAsia" w:hint="eastAsia"/>
          <w:kern w:val="0"/>
          <w:szCs w:val="21"/>
        </w:rPr>
        <w:t>基金合同当事人权利义务关系发生变化</w:t>
      </w:r>
      <w:r w:rsidRPr="00487553">
        <w:rPr>
          <w:rFonts w:asciiTheme="minorEastAsia" w:eastAsiaTheme="minorEastAsia" w:hAnsiTheme="minorEastAsia"/>
          <w:kern w:val="0"/>
          <w:szCs w:val="21"/>
        </w:rPr>
        <w:t>或对基金份额持有人利益无实质性不利影响</w:t>
      </w:r>
      <w:r w:rsidRPr="00487553">
        <w:rPr>
          <w:rFonts w:asciiTheme="minorEastAsia" w:eastAsiaTheme="minorEastAsia" w:hAnsiTheme="minorEastAsia" w:hint="eastAsia"/>
          <w:kern w:val="0"/>
          <w:szCs w:val="21"/>
        </w:rPr>
        <w:t>的，可不经基金份额持有人大会决议，经基金管理人和基金托管人同意可对基金合同的内容进行变更，该等变更应当由基金管理人进行公告并报中国证监会备案。</w:t>
      </w:r>
    </w:p>
    <w:p w14:paraId="78DB11B5" w14:textId="77777777" w:rsidR="00372351" w:rsidRPr="00487553" w:rsidRDefault="00372351" w:rsidP="00D94E68">
      <w:pPr>
        <w:pStyle w:val="2"/>
        <w:numPr>
          <w:ilvl w:val="0"/>
          <w:numId w:val="55"/>
        </w:numPr>
        <w:snapToGrid w:val="0"/>
        <w:spacing w:beforeLines="0" w:afterLines="0" w:line="360" w:lineRule="auto"/>
        <w:ind w:firstLineChars="0"/>
        <w:rPr>
          <w:rFonts w:asciiTheme="minorEastAsia" w:eastAsiaTheme="minorEastAsia" w:hAnsiTheme="minorEastAsia"/>
        </w:rPr>
      </w:pPr>
      <w:bookmarkStart w:id="899" w:name="_Toc20148493"/>
      <w:r w:rsidRPr="00487553">
        <w:rPr>
          <w:rFonts w:asciiTheme="minorEastAsia" w:eastAsiaTheme="minorEastAsia" w:hAnsiTheme="minorEastAsia" w:hint="eastAsia"/>
        </w:rPr>
        <w:t>基金合同的终止</w:t>
      </w:r>
      <w:bookmarkEnd w:id="899"/>
    </w:p>
    <w:p w14:paraId="074342C5" w14:textId="77777777" w:rsidR="002D72C0" w:rsidRPr="00487553" w:rsidRDefault="002A43D5"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有下列情形之一的，</w:t>
      </w:r>
      <w:r w:rsidR="002D72C0" w:rsidRPr="00487553">
        <w:rPr>
          <w:rFonts w:asciiTheme="minorEastAsia" w:eastAsiaTheme="minorEastAsia" w:hAnsiTheme="minorEastAsia" w:hint="eastAsia"/>
          <w:kern w:val="0"/>
          <w:szCs w:val="21"/>
        </w:rPr>
        <w:t>基金合同终止：</w:t>
      </w:r>
    </w:p>
    <w:p w14:paraId="3A653657" w14:textId="77777777" w:rsidR="002D72C0" w:rsidRPr="00487553" w:rsidRDefault="002D72C0"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1</w:t>
      </w:r>
      <w:r w:rsidRPr="00487553">
        <w:rPr>
          <w:rFonts w:asciiTheme="minorEastAsia" w:eastAsiaTheme="minorEastAsia" w:hAnsiTheme="minorEastAsia" w:hint="eastAsia"/>
          <w:kern w:val="0"/>
          <w:szCs w:val="21"/>
        </w:rPr>
        <w:t>、基金份额持有人大会决定终止；</w:t>
      </w:r>
    </w:p>
    <w:p w14:paraId="57E278FA" w14:textId="77777777" w:rsidR="002D72C0" w:rsidRPr="00487553" w:rsidRDefault="002D72C0"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2、基金管理人职责终止，在六个月内没有新基金管理人承接的；</w:t>
      </w:r>
    </w:p>
    <w:p w14:paraId="2647F2B4" w14:textId="77777777" w:rsidR="002D72C0" w:rsidRPr="00487553" w:rsidRDefault="002D72C0"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3、基金托管人职责终止，在六个月内没有新基金托管人承接的；</w:t>
      </w:r>
    </w:p>
    <w:p w14:paraId="31369BBD" w14:textId="77777777" w:rsidR="00372351" w:rsidRPr="00487553" w:rsidRDefault="002D72C0"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4、法律法规和基金合同规定的其他情形。</w:t>
      </w:r>
    </w:p>
    <w:p w14:paraId="17016BEB" w14:textId="77777777" w:rsidR="00372351" w:rsidRPr="00487553" w:rsidRDefault="00372351" w:rsidP="00D94E68">
      <w:pPr>
        <w:pStyle w:val="2"/>
        <w:numPr>
          <w:ilvl w:val="0"/>
          <w:numId w:val="55"/>
        </w:numPr>
        <w:snapToGrid w:val="0"/>
        <w:spacing w:beforeLines="0" w:afterLines="0" w:line="360" w:lineRule="auto"/>
        <w:ind w:firstLineChars="0"/>
        <w:rPr>
          <w:rFonts w:asciiTheme="minorEastAsia" w:eastAsiaTheme="minorEastAsia" w:hAnsiTheme="minorEastAsia"/>
        </w:rPr>
      </w:pPr>
      <w:bookmarkStart w:id="900" w:name="_Toc20148494"/>
      <w:r w:rsidRPr="00487553">
        <w:rPr>
          <w:rFonts w:asciiTheme="minorEastAsia" w:eastAsiaTheme="minorEastAsia" w:hAnsiTheme="minorEastAsia" w:hint="eastAsia"/>
        </w:rPr>
        <w:t>基金财产的清算</w:t>
      </w:r>
      <w:bookmarkEnd w:id="900"/>
    </w:p>
    <w:p w14:paraId="2C95CA13"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1、基金合同终止，应当按法律法规和基金合同的有关规定对基金财产进行清算。</w:t>
      </w:r>
    </w:p>
    <w:p w14:paraId="0975FB1F"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2、基金财产清算组</w:t>
      </w:r>
    </w:p>
    <w:p w14:paraId="0E2F7AEE" w14:textId="77777777" w:rsidR="00160ACC" w:rsidRPr="00487553" w:rsidRDefault="00BA531B"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1）自基金合同终止之日起30个工作日内由基金管理人组织成立基金财产清算组，在基金财产清算组接管基金财产之前，基金管理人和基金托管人应按照基金合同和托管协议的规定继续履行保护基金财产安全的职责。</w:t>
      </w:r>
    </w:p>
    <w:p w14:paraId="4E8BA572" w14:textId="77777777" w:rsidR="003D1439" w:rsidRPr="00487553" w:rsidRDefault="00F56962"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003D1439" w:rsidRPr="00487553">
        <w:rPr>
          <w:rFonts w:asciiTheme="minorEastAsia" w:eastAsiaTheme="minorEastAsia" w:hAnsiTheme="minorEastAsia" w:hint="eastAsia"/>
          <w:kern w:val="0"/>
          <w:szCs w:val="21"/>
        </w:rPr>
        <w:t>基金财产清算组成员由基金管理人、基金托管人、基金注册登记机构、具有从事证券相关业务资格的注册会计师、律师以及中国证监会指定的人员组成。基金财产清算组可以聘用必要的工作人员。</w:t>
      </w:r>
    </w:p>
    <w:p w14:paraId="5E56EDF7" w14:textId="77777777" w:rsidR="003D1439" w:rsidRPr="00487553" w:rsidRDefault="00F56962" w:rsidP="00D94E68">
      <w:pPr>
        <w:snapToGrid w:val="0"/>
        <w:spacing w:line="360" w:lineRule="auto"/>
        <w:ind w:firstLineChars="200" w:firstLine="420"/>
        <w:rPr>
          <w:rFonts w:asciiTheme="minorEastAsia" w:eastAsiaTheme="minorEastAsia" w:hAnsiTheme="minorEastAsia"/>
          <w:kern w:val="0"/>
          <w:sz w:val="24"/>
        </w:rPr>
      </w:pPr>
      <w:r w:rsidRPr="00487553">
        <w:rPr>
          <w:rFonts w:asciiTheme="minorEastAsia" w:eastAsiaTheme="minorEastAsia" w:hAnsiTheme="minorEastAsia" w:hint="eastAsia"/>
          <w:kern w:val="0"/>
          <w:szCs w:val="21"/>
        </w:rPr>
        <w:t>（</w:t>
      </w:r>
      <w:r w:rsidR="003D1439" w:rsidRPr="00487553">
        <w:rPr>
          <w:rFonts w:asciiTheme="minorEastAsia" w:eastAsiaTheme="minorEastAsia" w:hAnsiTheme="minorEastAsia" w:hint="eastAsia"/>
          <w:kern w:val="0"/>
          <w:szCs w:val="21"/>
        </w:rPr>
        <w:t>3）基金财产清算组负责基金财产的保管、清理、估价、变现和分配。基金财产清算组可以依法进行必要的民事活动。</w:t>
      </w:r>
    </w:p>
    <w:p w14:paraId="47F3F79E"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3、清算程序</w:t>
      </w:r>
    </w:p>
    <w:p w14:paraId="756F4EE6" w14:textId="25335330"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1）基金合同终止后，由基金财产清算组统一接管基金财产；</w:t>
      </w:r>
    </w:p>
    <w:p w14:paraId="4A32B9FA" w14:textId="3D0B2F6E"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2）基金财产清算组根据基金财产的情况确定清算期限；</w:t>
      </w:r>
    </w:p>
    <w:p w14:paraId="17157F5E" w14:textId="71276460"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3）基金财产清算组对基金财产进行清理和确认；</w:t>
      </w:r>
    </w:p>
    <w:p w14:paraId="2EC400EE" w14:textId="0F42B9C7"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4）对基金财产进行评估和变现；</w:t>
      </w:r>
    </w:p>
    <w:p w14:paraId="306484C0" w14:textId="0DDDC75C"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5）基金清算组做出清算报告；</w:t>
      </w:r>
    </w:p>
    <w:p w14:paraId="1B458EDF" w14:textId="1035D384"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w:t>
      </w:r>
      <w:r w:rsidR="00160ACC" w:rsidRPr="00487553">
        <w:rPr>
          <w:rFonts w:asciiTheme="minorEastAsia" w:eastAsiaTheme="minorEastAsia" w:hAnsiTheme="minorEastAsia" w:hint="eastAsia"/>
          <w:kern w:val="0"/>
          <w:szCs w:val="21"/>
        </w:rPr>
        <w:t>6）会计师事务所对清算报告进行审计；</w:t>
      </w:r>
    </w:p>
    <w:p w14:paraId="5686C1AC" w14:textId="7C00202D"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7）律师事务所对清算报告出具法律意见书；</w:t>
      </w:r>
    </w:p>
    <w:p w14:paraId="0AC0DA53" w14:textId="2BDF6B84"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8）将基金清算结果报告中国证监会；</w:t>
      </w:r>
    </w:p>
    <w:p w14:paraId="238458C7" w14:textId="352C6286"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9）公布基金清算公告；</w:t>
      </w:r>
    </w:p>
    <w:p w14:paraId="274E8DBB" w14:textId="77777777" w:rsidR="00160ACC" w:rsidRPr="00487553" w:rsidRDefault="00CC5418"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10）对基金剩余财产进行分配。</w:t>
      </w:r>
    </w:p>
    <w:p w14:paraId="0BA004B2"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4、清算费用</w:t>
      </w:r>
    </w:p>
    <w:p w14:paraId="14E0D844"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清算费用是指基金财产清算组在进行基金清算过程中发生的所有合理费用，清算费用由基金清算组优先从基金财产中支付。</w:t>
      </w:r>
    </w:p>
    <w:p w14:paraId="10D553A4"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5、基金剩余财产的分配</w:t>
      </w:r>
    </w:p>
    <w:p w14:paraId="62F67120" w14:textId="77777777" w:rsidR="003962CA"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基金财产按如下顺序进行清偿：</w:t>
      </w:r>
    </w:p>
    <w:p w14:paraId="235EBB75" w14:textId="77777777" w:rsidR="003D1439" w:rsidRPr="00487553" w:rsidRDefault="007770DE" w:rsidP="00D94E68">
      <w:pPr>
        <w:snapToGrid w:val="0"/>
        <w:spacing w:line="360" w:lineRule="auto"/>
        <w:ind w:firstLineChars="200" w:firstLine="420"/>
        <w:rPr>
          <w:rFonts w:asciiTheme="minorEastAsia" w:eastAsiaTheme="minorEastAsia" w:hAnsiTheme="minorEastAsia"/>
          <w:kern w:val="0"/>
          <w:sz w:val="24"/>
        </w:rPr>
      </w:pPr>
      <w:r w:rsidRPr="00487553">
        <w:rPr>
          <w:rFonts w:asciiTheme="minorEastAsia" w:eastAsiaTheme="minorEastAsia" w:hAnsiTheme="minorEastAsia" w:hint="eastAsia"/>
          <w:kern w:val="0"/>
          <w:szCs w:val="21"/>
        </w:rPr>
        <w:t>（1）</w:t>
      </w:r>
      <w:r w:rsidR="00160ACC" w:rsidRPr="00487553">
        <w:rPr>
          <w:rFonts w:asciiTheme="minorEastAsia" w:eastAsiaTheme="minorEastAsia" w:hAnsiTheme="minorEastAsia" w:hint="eastAsia"/>
          <w:kern w:val="0"/>
          <w:szCs w:val="21"/>
        </w:rPr>
        <w:t>支付基金财产清算费用；</w:t>
      </w:r>
    </w:p>
    <w:p w14:paraId="044A4163" w14:textId="77777777" w:rsidR="003D1439" w:rsidRPr="00487553" w:rsidRDefault="00095FD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3D1439" w:rsidRPr="00487553">
        <w:rPr>
          <w:rFonts w:asciiTheme="minorEastAsia" w:eastAsiaTheme="minorEastAsia" w:hAnsiTheme="minorEastAsia" w:hint="eastAsia"/>
          <w:kern w:val="0"/>
          <w:szCs w:val="21"/>
        </w:rPr>
        <w:t>2）缴纳基金所欠税款；</w:t>
      </w:r>
    </w:p>
    <w:p w14:paraId="2FBB2A30" w14:textId="77777777" w:rsidR="00160ACC" w:rsidRPr="00487553" w:rsidRDefault="00095FD6"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160ACC" w:rsidRPr="00487553">
        <w:rPr>
          <w:rFonts w:asciiTheme="minorEastAsia" w:eastAsiaTheme="minorEastAsia" w:hAnsiTheme="minorEastAsia" w:hint="eastAsia"/>
          <w:kern w:val="0"/>
          <w:szCs w:val="21"/>
        </w:rPr>
        <w:t>3）清偿基金债务；</w:t>
      </w:r>
    </w:p>
    <w:p w14:paraId="3A4E4842" w14:textId="77777777" w:rsidR="00160ACC" w:rsidRPr="00487553" w:rsidRDefault="00095FD6" w:rsidP="00D94E68">
      <w:pPr>
        <w:snapToGrid w:val="0"/>
        <w:spacing w:line="360" w:lineRule="auto"/>
        <w:ind w:firstLineChars="200" w:firstLine="400"/>
        <w:rPr>
          <w:rFonts w:asciiTheme="minorEastAsia" w:eastAsiaTheme="minorEastAsia" w:hAnsiTheme="minorEastAsia"/>
          <w:kern w:val="0"/>
          <w:sz w:val="20"/>
          <w:szCs w:val="21"/>
        </w:rPr>
      </w:pPr>
      <w:r w:rsidRPr="00487553">
        <w:rPr>
          <w:rFonts w:asciiTheme="minorEastAsia" w:eastAsiaTheme="minorEastAsia" w:hAnsiTheme="minorEastAsia" w:hint="eastAsia"/>
          <w:kern w:val="0"/>
          <w:sz w:val="20"/>
          <w:szCs w:val="21"/>
        </w:rPr>
        <w:t>（</w:t>
      </w:r>
      <w:r w:rsidR="00160ACC" w:rsidRPr="00487553">
        <w:rPr>
          <w:rFonts w:asciiTheme="minorEastAsia" w:eastAsiaTheme="minorEastAsia" w:hAnsiTheme="minorEastAsia" w:hint="eastAsia"/>
          <w:kern w:val="0"/>
          <w:sz w:val="20"/>
          <w:szCs w:val="21"/>
        </w:rPr>
        <w:t>4）清算后如有余额，按基金份额持有人持有的基金份额比例进行分配。</w:t>
      </w:r>
    </w:p>
    <w:p w14:paraId="6836D721"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基金财产未按前款1）、2）、3）项规定清偿前，不分配给基金份额持有人。</w:t>
      </w:r>
    </w:p>
    <w:p w14:paraId="1AE7EDF3"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6、基金财产清算的公告</w:t>
      </w:r>
    </w:p>
    <w:p w14:paraId="4EA03867" w14:textId="77777777" w:rsidR="00160ACC" w:rsidRPr="00487553" w:rsidRDefault="00160ACC"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清算过程中的有关重大事项须及时公告；基金财产清算组做出的清算报告经会计师事务所审计，律师事务所出具法律意见书后，报中国证监会备案并公告。</w:t>
      </w:r>
    </w:p>
    <w:p w14:paraId="73A098F0" w14:textId="77777777" w:rsidR="00372351" w:rsidRPr="00487553" w:rsidRDefault="00160ACC" w:rsidP="00D94E68">
      <w:pPr>
        <w:snapToGrid w:val="0"/>
        <w:spacing w:line="360" w:lineRule="auto"/>
        <w:ind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7、基金财产清算账册及文件由基金托管人保存期限不少于15年。</w:t>
      </w:r>
    </w:p>
    <w:p w14:paraId="73182100" w14:textId="02CC71AB"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901" w:name="_Toc20148495"/>
      <w:r w:rsidRPr="00487553">
        <w:rPr>
          <w:rFonts w:asciiTheme="minorEastAsia" w:eastAsiaTheme="minorEastAsia" w:hAnsiTheme="minorEastAsia"/>
        </w:rPr>
        <w:lastRenderedPageBreak/>
        <w:t>基金托管人</w:t>
      </w:r>
      <w:bookmarkEnd w:id="901"/>
    </w:p>
    <w:p w14:paraId="3CD9897D"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bookmarkStart w:id="902" w:name="_Toc296440218"/>
      <w:bookmarkStart w:id="903" w:name="_Toc296527052"/>
      <w:bookmarkStart w:id="904" w:name="_Toc306614278"/>
      <w:r w:rsidRPr="00487553">
        <w:rPr>
          <w:rFonts w:asciiTheme="minorEastAsia" w:eastAsiaTheme="minorEastAsia" w:hAnsiTheme="minorEastAsia"/>
        </w:rPr>
        <w:t>（一）基金托管人基本情况</w:t>
      </w:r>
    </w:p>
    <w:p w14:paraId="007C5B87"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1、基金托管人概况</w:t>
      </w:r>
    </w:p>
    <w:p w14:paraId="3DCFF8B9"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公司法定中文名称：交通银行股份有限公司（简称：交通银行）</w:t>
      </w:r>
    </w:p>
    <w:p w14:paraId="6E85B144"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公司法定英文名称：BANK OF COMMUNICATIONS CO.,LTD</w:t>
      </w:r>
    </w:p>
    <w:p w14:paraId="19EE5DC4"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法定代表人：彭纯</w:t>
      </w:r>
    </w:p>
    <w:p w14:paraId="688FD695"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 xml:space="preserve">住    所：中国（上海）自由贸易试验区银城中路188号 </w:t>
      </w:r>
    </w:p>
    <w:p w14:paraId="7127FCAD"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办公地址：中国（上海）长宁区仙霞路18号</w:t>
      </w:r>
    </w:p>
    <w:p w14:paraId="26155DEE"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邮政编码：200336</w:t>
      </w:r>
    </w:p>
    <w:p w14:paraId="1CC1284A"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注册时间：1987年3月30日</w:t>
      </w:r>
    </w:p>
    <w:p w14:paraId="39335488"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注册资本：742.63亿元</w:t>
      </w:r>
    </w:p>
    <w:p w14:paraId="013EC159"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基金托管资格批文及文号：中国证监会证监基字[1998]25号</w:t>
      </w:r>
    </w:p>
    <w:p w14:paraId="5F8C21F0"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联系人：陆志俊</w:t>
      </w:r>
    </w:p>
    <w:p w14:paraId="1DFECD48"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电  话：95559</w:t>
      </w:r>
    </w:p>
    <w:p w14:paraId="531600F9" w14:textId="77777777" w:rsidR="00325B83" w:rsidRPr="00487553" w:rsidRDefault="00E51D7B" w:rsidP="00487553">
      <w:pPr>
        <w:tabs>
          <w:tab w:val="num" w:pos="840"/>
        </w:tabs>
        <w:adjustRightInd w:val="0"/>
        <w:snapToGrid w:val="0"/>
        <w:spacing w:line="360" w:lineRule="auto"/>
        <w:ind w:firstLineChars="200" w:firstLine="420"/>
        <w:rPr>
          <w:rFonts w:asciiTheme="minorEastAsia" w:eastAsiaTheme="minorEastAsia" w:hAnsiTheme="minorEastAsia"/>
        </w:rPr>
      </w:pPr>
      <w:hyperlink r:id="rId16" w:tgtFrame="_blank" w:history="1">
        <w:r w:rsidR="00325B83" w:rsidRPr="00487553">
          <w:rPr>
            <w:rFonts w:asciiTheme="minorEastAsia" w:eastAsiaTheme="minorEastAsia" w:hAnsiTheme="minorEastAsia" w:hint="eastAsia"/>
          </w:rPr>
          <w:t>交通银行</w:t>
        </w:r>
      </w:hyperlink>
      <w:r w:rsidR="00325B83" w:rsidRPr="00487553">
        <w:rPr>
          <w:rFonts w:asciiTheme="minorEastAsia" w:eastAsiaTheme="minorEastAsia" w:hAnsiTheme="minorEastAsia" w:hint="eastAsia"/>
        </w:rPr>
        <w:t>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根据2019年英国《银行家》杂志发布的全球千家大银行报告，交通银行一级资本位列第11位，连续五年跻身全球银行20强；根据2019年美国《财富》杂志发布的世界500强公司排行榜，交通银行营业收入位列第150位，较上年提升18位。</w:t>
      </w:r>
    </w:p>
    <w:p w14:paraId="0E3024AE"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截至2019年6月30日，交通银行资产总额为人民币</w:t>
      </w:r>
      <w:r w:rsidRPr="00487553">
        <w:rPr>
          <w:rFonts w:asciiTheme="minorEastAsia" w:eastAsiaTheme="minorEastAsia" w:hAnsiTheme="minorEastAsia"/>
        </w:rPr>
        <w:t>9</w:t>
      </w:r>
      <w:r w:rsidRPr="00487553">
        <w:rPr>
          <w:rFonts w:asciiTheme="minorEastAsia" w:eastAsiaTheme="minorEastAsia" w:hAnsiTheme="minorEastAsia" w:hint="eastAsia"/>
        </w:rPr>
        <w:t>8</w:t>
      </w:r>
      <w:r w:rsidRPr="00487553">
        <w:rPr>
          <w:rFonts w:asciiTheme="minorEastAsia" w:eastAsiaTheme="minorEastAsia" w:hAnsiTheme="minorEastAsia"/>
        </w:rPr>
        <w:t>,8</w:t>
      </w:r>
      <w:r w:rsidRPr="00487553">
        <w:rPr>
          <w:rFonts w:asciiTheme="minorEastAsia" w:eastAsiaTheme="minorEastAsia" w:hAnsiTheme="minorEastAsia" w:hint="eastAsia"/>
        </w:rPr>
        <w:t>66</w:t>
      </w:r>
      <w:r w:rsidRPr="00487553">
        <w:rPr>
          <w:rFonts w:asciiTheme="minorEastAsia" w:eastAsiaTheme="minorEastAsia" w:hAnsiTheme="minorEastAsia"/>
        </w:rPr>
        <w:t>.</w:t>
      </w:r>
      <w:r w:rsidRPr="00487553">
        <w:rPr>
          <w:rFonts w:asciiTheme="minorEastAsia" w:eastAsiaTheme="minorEastAsia" w:hAnsiTheme="minorEastAsia" w:hint="eastAsia"/>
        </w:rPr>
        <w:t>08亿元。2019年1-6月，交通银行实现净利润(归属于母公司股东)人民币427</w:t>
      </w:r>
      <w:r w:rsidRPr="00487553">
        <w:rPr>
          <w:rFonts w:asciiTheme="minorEastAsia" w:eastAsiaTheme="minorEastAsia" w:hAnsiTheme="minorEastAsia"/>
        </w:rPr>
        <w:t>.</w:t>
      </w:r>
      <w:r w:rsidRPr="00487553">
        <w:rPr>
          <w:rFonts w:asciiTheme="minorEastAsia" w:eastAsiaTheme="minorEastAsia" w:hAnsiTheme="minorEastAsia" w:hint="eastAsia"/>
        </w:rPr>
        <w:t>49亿元。</w:t>
      </w:r>
    </w:p>
    <w:p w14:paraId="67FBE0FB"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交通银行总行设</w:t>
      </w:r>
      <w:r w:rsidRPr="00487553">
        <w:rPr>
          <w:rFonts w:asciiTheme="minorEastAsia" w:eastAsiaTheme="minorEastAsia" w:hAnsiTheme="minorEastAsia" w:hint="eastAsia"/>
        </w:rPr>
        <w:t>资产托管业务中心（下文简称“托管中心”）。现有员工具有多年基金、证券和银行的从业经验，</w:t>
      </w:r>
      <w:r w:rsidRPr="00487553">
        <w:rPr>
          <w:rFonts w:asciiTheme="minorEastAsia" w:eastAsiaTheme="minorEastAsia" w:hAnsiTheme="minorEastAsia"/>
        </w:rPr>
        <w:t>具备基金从</w:t>
      </w:r>
      <w:r w:rsidRPr="00487553">
        <w:rPr>
          <w:rFonts w:asciiTheme="minorEastAsia" w:eastAsiaTheme="minorEastAsia" w:hAnsiTheme="minorEastAsia" w:hint="eastAsia"/>
        </w:rPr>
        <w:t>业</w:t>
      </w:r>
      <w:r w:rsidRPr="00487553">
        <w:rPr>
          <w:rFonts w:asciiTheme="minorEastAsia" w:eastAsiaTheme="minorEastAsia" w:hAnsiTheme="minorEastAsia"/>
        </w:rPr>
        <w:t>资格</w:t>
      </w:r>
      <w:r w:rsidRPr="00487553">
        <w:rPr>
          <w:rFonts w:asciiTheme="minorEastAsia" w:eastAsiaTheme="minorEastAsia" w:hAnsiTheme="minorEastAsia" w:hint="eastAsia"/>
        </w:rPr>
        <w:t>，以及</w:t>
      </w:r>
      <w:r w:rsidRPr="00487553">
        <w:rPr>
          <w:rFonts w:asciiTheme="minorEastAsia" w:eastAsiaTheme="minorEastAsia" w:hAnsiTheme="minorEastAsia"/>
        </w:rPr>
        <w:t>经济师、会计师、工程师和律师</w:t>
      </w:r>
      <w:r w:rsidRPr="00487553">
        <w:rPr>
          <w:rFonts w:asciiTheme="minorEastAsia" w:eastAsiaTheme="minorEastAsia" w:hAnsiTheme="minorEastAsia" w:hint="eastAsia"/>
        </w:rPr>
        <w:t>等</w:t>
      </w:r>
      <w:r w:rsidRPr="00487553">
        <w:rPr>
          <w:rFonts w:asciiTheme="minorEastAsia" w:eastAsiaTheme="minorEastAsia" w:hAnsiTheme="minorEastAsia"/>
        </w:rPr>
        <w:t>中高级</w:t>
      </w:r>
      <w:r w:rsidRPr="00487553">
        <w:rPr>
          <w:rFonts w:asciiTheme="minorEastAsia" w:eastAsiaTheme="minorEastAsia" w:hAnsiTheme="minorEastAsia" w:hint="eastAsia"/>
        </w:rPr>
        <w:t>专业技术</w:t>
      </w:r>
      <w:r w:rsidRPr="00487553">
        <w:rPr>
          <w:rFonts w:asciiTheme="minorEastAsia" w:eastAsiaTheme="minorEastAsia" w:hAnsiTheme="minorEastAsia"/>
        </w:rPr>
        <w:t>职称，员工的学历层次较高，专业分布合理，职业技能优良，职业道德素质过硬，是一支诚实勤勉、积极进取、开拓创新、奋发向上的</w:t>
      </w:r>
      <w:r w:rsidRPr="00487553">
        <w:rPr>
          <w:rFonts w:asciiTheme="minorEastAsia" w:eastAsiaTheme="minorEastAsia" w:hAnsiTheme="minorEastAsia" w:hint="eastAsia"/>
        </w:rPr>
        <w:t>资产</w:t>
      </w:r>
      <w:r w:rsidRPr="00487553">
        <w:rPr>
          <w:rFonts w:asciiTheme="minorEastAsia" w:eastAsiaTheme="minorEastAsia" w:hAnsiTheme="minorEastAsia"/>
        </w:rPr>
        <w:t>托管从业人员队伍。</w:t>
      </w:r>
    </w:p>
    <w:p w14:paraId="44F2D8BF"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2、主要人员情况</w:t>
      </w:r>
    </w:p>
    <w:p w14:paraId="3371EFE1"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任德奇先生，副董事长、执行董事、行长，高级经济师。</w:t>
      </w:r>
    </w:p>
    <w:p w14:paraId="350C5212"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任先生2018年8月起任本行副董事长、执行董事、行长；2016年12月至2018年6月任中国银行执行董事、副行长，其中：2015年10月至2018年6月兼任中银香港（控股）有限公司非执行董事，2016年9月至2018年6月兼任中国银行上海人民币交易业务总部总裁；2014年7月至2016年11月任中国银行副行长，2003年8月至2014年5月历任中国建设银行信贷审批部副总经理、风险监控部总经理、授信管理部总经理、湖北省分行行长、</w:t>
      </w:r>
      <w:r w:rsidRPr="00487553">
        <w:rPr>
          <w:rFonts w:asciiTheme="minorEastAsia" w:eastAsiaTheme="minorEastAsia" w:hAnsiTheme="minorEastAsia" w:hint="eastAsia"/>
        </w:rPr>
        <w:lastRenderedPageBreak/>
        <w:t>风险管理部总经理；1988年7月至2003年8月先后在中国建设银行岳阳长岭支行、岳阳市中心支行、岳阳分行，中国建设银行信贷管理委员会办公室、信贷风险管理部工作。任先生1988年于清华大学获工学硕士学位。</w:t>
      </w:r>
    </w:p>
    <w:p w14:paraId="34B55362"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袁庆伟女士，资产托管业务中心总裁，高级经济师。</w:t>
      </w:r>
    </w:p>
    <w:p w14:paraId="2B4C9E16"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袁女士2015年8月起任本行资产托管业务中心总裁；</w:t>
      </w:r>
      <w:r w:rsidRPr="00487553">
        <w:rPr>
          <w:rFonts w:asciiTheme="minorEastAsia" w:eastAsiaTheme="minorEastAsia" w:hAnsiTheme="minorEastAsia"/>
        </w:rPr>
        <w:t>20</w:t>
      </w:r>
      <w:r w:rsidRPr="00487553">
        <w:rPr>
          <w:rFonts w:asciiTheme="minorEastAsia" w:eastAsiaTheme="minorEastAsia" w:hAnsiTheme="minorEastAsia" w:hint="eastAsia"/>
        </w:rPr>
        <w:t>07年12月至2015年8月，历任本行资产托管部总经理助理、副总经理，本行资产托管业务中心副总裁；</w:t>
      </w:r>
      <w:r w:rsidRPr="00487553">
        <w:rPr>
          <w:rFonts w:asciiTheme="minorEastAsia" w:eastAsiaTheme="minorEastAsia" w:hAnsiTheme="minorEastAsia"/>
        </w:rPr>
        <w:t>1999</w:t>
      </w:r>
      <w:r w:rsidRPr="00487553">
        <w:rPr>
          <w:rFonts w:asciiTheme="minorEastAsia" w:eastAsiaTheme="minorEastAsia" w:hAnsiTheme="minorEastAsia" w:hint="eastAsia"/>
        </w:rPr>
        <w:t>年</w:t>
      </w:r>
      <w:r w:rsidRPr="00487553">
        <w:rPr>
          <w:rFonts w:asciiTheme="minorEastAsia" w:eastAsiaTheme="minorEastAsia" w:hAnsiTheme="minorEastAsia"/>
        </w:rPr>
        <w:t>12</w:t>
      </w:r>
      <w:r w:rsidRPr="00487553">
        <w:rPr>
          <w:rFonts w:asciiTheme="minorEastAsia" w:eastAsiaTheme="minorEastAsia" w:hAnsiTheme="minorEastAsia" w:hint="eastAsia"/>
        </w:rPr>
        <w:t>月至</w:t>
      </w:r>
      <w:r w:rsidRPr="00487553">
        <w:rPr>
          <w:rFonts w:asciiTheme="minorEastAsia" w:eastAsiaTheme="minorEastAsia" w:hAnsiTheme="minorEastAsia"/>
        </w:rPr>
        <w:t>2007</w:t>
      </w:r>
      <w:r w:rsidRPr="00487553">
        <w:rPr>
          <w:rFonts w:asciiTheme="minorEastAsia" w:eastAsiaTheme="minorEastAsia" w:hAnsiTheme="minorEastAsia" w:hint="eastAsia"/>
        </w:rPr>
        <w:t>年</w:t>
      </w:r>
      <w:r w:rsidRPr="00487553">
        <w:rPr>
          <w:rFonts w:asciiTheme="minorEastAsia" w:eastAsiaTheme="minorEastAsia" w:hAnsiTheme="minorEastAsia"/>
        </w:rPr>
        <w:t>12</w:t>
      </w:r>
      <w:r w:rsidRPr="00487553">
        <w:rPr>
          <w:rFonts w:asciiTheme="minorEastAsia" w:eastAsiaTheme="minorEastAsia" w:hAnsiTheme="minorEastAsia" w:hint="eastAsia"/>
        </w:rPr>
        <w:t>月，历任本行乌鲁木齐分行财务会计部副科长、科长、处长助理、副处长，会计结算部高级经理。袁女士1992年毕业于中国石油大学计算机科学系，获得学士学位，2005年于新疆财经学院获硕士学位。</w:t>
      </w:r>
    </w:p>
    <w:p w14:paraId="35597069"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3、基金托管业务经营情况</w:t>
      </w:r>
    </w:p>
    <w:p w14:paraId="433A2B62"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截至2019年6月30日，交通银行托管证券投资基金411只。此外，交通银行还托管了基金公司特定客户资产管理计划、证券公司客户资产管理计划、银行理财产品、信托计划、私募投资基金、保险资金、QDIE资金、全国社保基金、养老保障管理基金、企业年金基金、职业年金基金、QFII证券投资资产、RQFII证券投资资产、QDII证券投资资产、RQDII证券投资资产和QDLP资金等产品。</w:t>
      </w:r>
    </w:p>
    <w:p w14:paraId="299F3422"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（二）基金托管人的内部控制制度</w:t>
      </w:r>
    </w:p>
    <w:p w14:paraId="5B9FB48C"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1、内部控制目标</w:t>
      </w:r>
    </w:p>
    <w:p w14:paraId="18DE418B"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交通银行严格遵守国家法律法规、行业规章及行内相关管理规定，加强内部管理，托管中心业务制度健全并确保贯彻执行各项规章，通过对各种风险的识别、评估、控制及缓释，有效地实现对各项业务的风险管控，确保业务稳健运行，保护基金持有人的合法权益。</w:t>
      </w:r>
    </w:p>
    <w:p w14:paraId="21852D71"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2、内部控制原则</w:t>
      </w:r>
    </w:p>
    <w:p w14:paraId="0D2D0785"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1）合法性原则：托管中心制定的各项制度符合国家法律法规及监管机构的监管要求，并贯穿于托管业务经营管理活动始终。</w:t>
      </w:r>
    </w:p>
    <w:p w14:paraId="13862707"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2）全面性原则：托管中心建立各二级部自我监控和风险合规部风险管控的内部控制机制，覆盖各项业务、各个部门和各级人员，并渗透到决策、执行、监督、反馈等各个经营环节，建立全面的风险管理监督机制。</w:t>
      </w:r>
    </w:p>
    <w:p w14:paraId="1C93E361"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3）独立性原则：托管中心独立负责受托基金资产的保管，保证基金资产与交通银行的自有资产相互独立，对不同的受托基金资产分别设置账户，独立核算，分账管理。</w:t>
      </w:r>
    </w:p>
    <w:p w14:paraId="7086BDAD"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4）制衡性原则：托管中心贯彻适当授权、相互制约的原则，从组织架构的设置上确保各二级部和各岗位权责分明、相互制约，并通过有效的相互制衡措施消除内部控制中的盲点。</w:t>
      </w:r>
    </w:p>
    <w:p w14:paraId="7C2793F3"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5）有效性原则：托管中心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14:paraId="1563C618"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lastRenderedPageBreak/>
        <w:t>6）效益性原则：托管中心内部控制与基金托管规模、业务范围和业务运作环节的风险控制要求相适应，尽量降低经营运作成本，以合理的控制成本实现最佳的内部控制目标。</w:t>
      </w:r>
    </w:p>
    <w:p w14:paraId="2FB34117"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3、内部控制制度及措施</w:t>
      </w:r>
    </w:p>
    <w:p w14:paraId="0AD4D5F1"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 xml:space="preserve">根据《证券投资基金法》、《中华人民共和国商业银行法》、《商业银行资产托管业务指引》等法律法规，托管中心制定了一整套严密、完整的证券投资基金托管管理规章制度，确保基金托管业务运行的规范、安全、高效，包括《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等，并根据市场变化和基金业务的发展不断加以完善。做到业务分工科学合理，技术系统管理规范，业务管理制度健全，核心作业区实行封闭管理，落实各项安全隔离措施，相关信息披露由专人负责。 </w:t>
      </w:r>
    </w:p>
    <w:p w14:paraId="22203613"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托管中心通过对基金托管业务各环节的事前揭示、事中控制和事后检查措施实现全流程、全链条的风险管理，聘请国际著名会计师事务所对基金托管业务运行进行国际标准的内部控制评审。</w:t>
      </w:r>
    </w:p>
    <w:p w14:paraId="48C7413B"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（三）基金托管人对基金管理人运作基金进行监督的方法和程序</w:t>
      </w:r>
    </w:p>
    <w:p w14:paraId="1F1E5578"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14:paraId="69C198AF"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14:paraId="430B6557"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交通银行作为基金托管人，发现基金管理人有重大违规行为，有权立即报告中国证监会，同时通知基金管理人限期纠正。</w:t>
      </w:r>
    </w:p>
    <w:p w14:paraId="273B866F"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（四）其他事项</w:t>
      </w:r>
    </w:p>
    <w:p w14:paraId="31A12345" w14:textId="77777777" w:rsidR="00325B83" w:rsidRPr="00487553" w:rsidRDefault="00325B83" w:rsidP="00487553">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14:paraId="0DD2EAD5" w14:textId="77777777" w:rsidR="00325B83" w:rsidRPr="00487553" w:rsidRDefault="00325B83" w:rsidP="00325B83">
      <w:pPr>
        <w:rPr>
          <w:rFonts w:asciiTheme="minorEastAsia" w:eastAsiaTheme="minorEastAsia" w:hAnsiTheme="minorEastAsia"/>
        </w:rPr>
      </w:pPr>
    </w:p>
    <w:p w14:paraId="7F318718" w14:textId="77777777" w:rsidR="00BF53B1" w:rsidRPr="00487553" w:rsidRDefault="00BF53B1" w:rsidP="00BF53B1">
      <w:pPr>
        <w:rPr>
          <w:rFonts w:asciiTheme="minorEastAsia" w:eastAsiaTheme="minorEastAsia" w:hAnsiTheme="minorEastAsia"/>
        </w:rPr>
      </w:pPr>
    </w:p>
    <w:p w14:paraId="04146179" w14:textId="77777777" w:rsidR="00326639" w:rsidRPr="00487553" w:rsidRDefault="00326639"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905" w:name="_Toc272569090"/>
      <w:bookmarkStart w:id="906" w:name="_Toc272569242"/>
      <w:bookmarkStart w:id="907" w:name="_Toc272569426"/>
      <w:bookmarkStart w:id="908" w:name="_Toc272569563"/>
      <w:bookmarkStart w:id="909" w:name="_Toc272569699"/>
      <w:bookmarkStart w:id="910" w:name="_Toc272569850"/>
      <w:bookmarkStart w:id="911" w:name="_Toc272570173"/>
      <w:bookmarkStart w:id="912" w:name="_Toc272570307"/>
      <w:bookmarkStart w:id="913" w:name="_Toc272570440"/>
      <w:bookmarkStart w:id="914" w:name="_Toc272570574"/>
      <w:bookmarkStart w:id="915" w:name="_Toc272570707"/>
      <w:bookmarkStart w:id="916" w:name="_Toc272570840"/>
      <w:bookmarkStart w:id="917" w:name="_Toc272569091"/>
      <w:bookmarkStart w:id="918" w:name="_Toc272569243"/>
      <w:bookmarkStart w:id="919" w:name="_Toc272569427"/>
      <w:bookmarkStart w:id="920" w:name="_Toc272569564"/>
      <w:bookmarkStart w:id="921" w:name="_Toc272569700"/>
      <w:bookmarkStart w:id="922" w:name="_Toc272569851"/>
      <w:bookmarkStart w:id="923" w:name="_Toc272570174"/>
      <w:bookmarkStart w:id="924" w:name="_Toc272570308"/>
      <w:bookmarkStart w:id="925" w:name="_Toc272570441"/>
      <w:bookmarkStart w:id="926" w:name="_Toc272570575"/>
      <w:bookmarkStart w:id="927" w:name="_Toc272570708"/>
      <w:bookmarkStart w:id="928" w:name="_Toc272570841"/>
      <w:bookmarkStart w:id="929" w:name="_Toc272569093"/>
      <w:bookmarkStart w:id="930" w:name="_Toc272569245"/>
      <w:bookmarkStart w:id="931" w:name="_Toc272569429"/>
      <w:bookmarkStart w:id="932" w:name="_Toc272569566"/>
      <w:bookmarkStart w:id="933" w:name="_Toc272569702"/>
      <w:bookmarkStart w:id="934" w:name="_Toc272569853"/>
      <w:bookmarkStart w:id="935" w:name="_Toc272570176"/>
      <w:bookmarkStart w:id="936" w:name="_Toc272570310"/>
      <w:bookmarkStart w:id="937" w:name="_Toc272570443"/>
      <w:bookmarkStart w:id="938" w:name="_Toc272570577"/>
      <w:bookmarkStart w:id="939" w:name="_Toc272570710"/>
      <w:bookmarkStart w:id="940" w:name="_Toc272570843"/>
      <w:bookmarkStart w:id="941" w:name="_Toc272569094"/>
      <w:bookmarkStart w:id="942" w:name="_Toc272569246"/>
      <w:bookmarkStart w:id="943" w:name="_Toc272569430"/>
      <w:bookmarkStart w:id="944" w:name="_Toc272569567"/>
      <w:bookmarkStart w:id="945" w:name="_Toc272569703"/>
      <w:bookmarkStart w:id="946" w:name="_Toc272569854"/>
      <w:bookmarkStart w:id="947" w:name="_Toc272570177"/>
      <w:bookmarkStart w:id="948" w:name="_Toc272570311"/>
      <w:bookmarkStart w:id="949" w:name="_Toc272570444"/>
      <w:bookmarkStart w:id="950" w:name="_Toc272570578"/>
      <w:bookmarkStart w:id="951" w:name="_Toc272570711"/>
      <w:bookmarkStart w:id="952" w:name="_Toc272570844"/>
      <w:bookmarkStart w:id="953" w:name="_Toc272569095"/>
      <w:bookmarkStart w:id="954" w:name="_Toc272569247"/>
      <w:bookmarkStart w:id="955" w:name="_Toc272569431"/>
      <w:bookmarkStart w:id="956" w:name="_Toc272569568"/>
      <w:bookmarkStart w:id="957" w:name="_Toc272569704"/>
      <w:bookmarkStart w:id="958" w:name="_Toc272569855"/>
      <w:bookmarkStart w:id="959" w:name="_Toc272570178"/>
      <w:bookmarkStart w:id="960" w:name="_Toc272570312"/>
      <w:bookmarkStart w:id="961" w:name="_Toc272570445"/>
      <w:bookmarkStart w:id="962" w:name="_Toc272570579"/>
      <w:bookmarkStart w:id="963" w:name="_Toc272570712"/>
      <w:bookmarkStart w:id="964" w:name="_Toc272570845"/>
      <w:bookmarkStart w:id="965" w:name="_Toc272569096"/>
      <w:bookmarkStart w:id="966" w:name="_Toc272569248"/>
      <w:bookmarkStart w:id="967" w:name="_Toc272569432"/>
      <w:bookmarkStart w:id="968" w:name="_Toc272569569"/>
      <w:bookmarkStart w:id="969" w:name="_Toc272569705"/>
      <w:bookmarkStart w:id="970" w:name="_Toc272569856"/>
      <w:bookmarkStart w:id="971" w:name="_Toc272570179"/>
      <w:bookmarkStart w:id="972" w:name="_Toc272570313"/>
      <w:bookmarkStart w:id="973" w:name="_Toc272570446"/>
      <w:bookmarkStart w:id="974" w:name="_Toc272570580"/>
      <w:bookmarkStart w:id="975" w:name="_Toc272570713"/>
      <w:bookmarkStart w:id="976" w:name="_Toc272570846"/>
      <w:bookmarkStart w:id="977" w:name="_Toc272569097"/>
      <w:bookmarkStart w:id="978" w:name="_Toc272569249"/>
      <w:bookmarkStart w:id="979" w:name="_Toc272569433"/>
      <w:bookmarkStart w:id="980" w:name="_Toc272569570"/>
      <w:bookmarkStart w:id="981" w:name="_Toc272569706"/>
      <w:bookmarkStart w:id="982" w:name="_Toc272569857"/>
      <w:bookmarkStart w:id="983" w:name="_Toc272570180"/>
      <w:bookmarkStart w:id="984" w:name="_Toc272570314"/>
      <w:bookmarkStart w:id="985" w:name="_Toc272570447"/>
      <w:bookmarkStart w:id="986" w:name="_Toc272570581"/>
      <w:bookmarkStart w:id="987" w:name="_Toc272570714"/>
      <w:bookmarkStart w:id="988" w:name="_Toc272570847"/>
      <w:bookmarkStart w:id="989" w:name="_Toc272569098"/>
      <w:bookmarkStart w:id="990" w:name="_Toc272569250"/>
      <w:bookmarkStart w:id="991" w:name="_Toc272569434"/>
      <w:bookmarkStart w:id="992" w:name="_Toc272569571"/>
      <w:bookmarkStart w:id="993" w:name="_Toc272569707"/>
      <w:bookmarkStart w:id="994" w:name="_Toc272569858"/>
      <w:bookmarkStart w:id="995" w:name="_Toc272570181"/>
      <w:bookmarkStart w:id="996" w:name="_Toc272570315"/>
      <w:bookmarkStart w:id="997" w:name="_Toc272570448"/>
      <w:bookmarkStart w:id="998" w:name="_Toc272570582"/>
      <w:bookmarkStart w:id="999" w:name="_Toc272570715"/>
      <w:bookmarkStart w:id="1000" w:name="_Toc272570848"/>
      <w:bookmarkStart w:id="1001" w:name="_Toc272569099"/>
      <w:bookmarkStart w:id="1002" w:name="_Toc272569251"/>
      <w:bookmarkStart w:id="1003" w:name="_Toc272569435"/>
      <w:bookmarkStart w:id="1004" w:name="_Toc272569572"/>
      <w:bookmarkStart w:id="1005" w:name="_Toc272569708"/>
      <w:bookmarkStart w:id="1006" w:name="_Toc272569859"/>
      <w:bookmarkStart w:id="1007" w:name="_Toc272570182"/>
      <w:bookmarkStart w:id="1008" w:name="_Toc272570316"/>
      <w:bookmarkStart w:id="1009" w:name="_Toc272570449"/>
      <w:bookmarkStart w:id="1010" w:name="_Toc272570583"/>
      <w:bookmarkStart w:id="1011" w:name="_Toc272570716"/>
      <w:bookmarkStart w:id="1012" w:name="_Toc272570849"/>
      <w:bookmarkStart w:id="1013" w:name="_Toc272569100"/>
      <w:bookmarkStart w:id="1014" w:name="_Toc272569252"/>
      <w:bookmarkStart w:id="1015" w:name="_Toc272569436"/>
      <w:bookmarkStart w:id="1016" w:name="_Toc272569573"/>
      <w:bookmarkStart w:id="1017" w:name="_Toc272569709"/>
      <w:bookmarkStart w:id="1018" w:name="_Toc272569860"/>
      <w:bookmarkStart w:id="1019" w:name="_Toc272570183"/>
      <w:bookmarkStart w:id="1020" w:name="_Toc272570317"/>
      <w:bookmarkStart w:id="1021" w:name="_Toc272570450"/>
      <w:bookmarkStart w:id="1022" w:name="_Toc272570584"/>
      <w:bookmarkStart w:id="1023" w:name="_Toc272570717"/>
      <w:bookmarkStart w:id="1024" w:name="_Toc272570850"/>
      <w:bookmarkStart w:id="1025" w:name="_Toc272569102"/>
      <w:bookmarkStart w:id="1026" w:name="_Toc272569254"/>
      <w:bookmarkStart w:id="1027" w:name="_Toc272569438"/>
      <w:bookmarkStart w:id="1028" w:name="_Toc272569575"/>
      <w:bookmarkStart w:id="1029" w:name="_Toc272569711"/>
      <w:bookmarkStart w:id="1030" w:name="_Toc272569862"/>
      <w:bookmarkStart w:id="1031" w:name="_Toc272570185"/>
      <w:bookmarkStart w:id="1032" w:name="_Toc272570319"/>
      <w:bookmarkStart w:id="1033" w:name="_Toc272570452"/>
      <w:bookmarkStart w:id="1034" w:name="_Toc272570586"/>
      <w:bookmarkStart w:id="1035" w:name="_Toc272570719"/>
      <w:bookmarkStart w:id="1036" w:name="_Toc272570852"/>
      <w:bookmarkStart w:id="1037" w:name="_Toc272569103"/>
      <w:bookmarkStart w:id="1038" w:name="_Toc272569255"/>
      <w:bookmarkStart w:id="1039" w:name="_Toc272569439"/>
      <w:bookmarkStart w:id="1040" w:name="_Toc272569576"/>
      <w:bookmarkStart w:id="1041" w:name="_Toc272569712"/>
      <w:bookmarkStart w:id="1042" w:name="_Toc272569863"/>
      <w:bookmarkStart w:id="1043" w:name="_Toc272570186"/>
      <w:bookmarkStart w:id="1044" w:name="_Toc272570320"/>
      <w:bookmarkStart w:id="1045" w:name="_Toc272570453"/>
      <w:bookmarkStart w:id="1046" w:name="_Toc272570587"/>
      <w:bookmarkStart w:id="1047" w:name="_Toc272570720"/>
      <w:bookmarkStart w:id="1048" w:name="_Toc272570853"/>
      <w:bookmarkStart w:id="1049" w:name="_Toc272569104"/>
      <w:bookmarkStart w:id="1050" w:name="_Toc272569256"/>
      <w:bookmarkStart w:id="1051" w:name="_Toc272569440"/>
      <w:bookmarkStart w:id="1052" w:name="_Toc272569577"/>
      <w:bookmarkStart w:id="1053" w:name="_Toc272569713"/>
      <w:bookmarkStart w:id="1054" w:name="_Toc272569864"/>
      <w:bookmarkStart w:id="1055" w:name="_Toc272570187"/>
      <w:bookmarkStart w:id="1056" w:name="_Toc272570321"/>
      <w:bookmarkStart w:id="1057" w:name="_Toc272570454"/>
      <w:bookmarkStart w:id="1058" w:name="_Toc272570588"/>
      <w:bookmarkStart w:id="1059" w:name="_Toc272570721"/>
      <w:bookmarkStart w:id="1060" w:name="_Toc272570854"/>
      <w:bookmarkStart w:id="1061" w:name="_Toc272569105"/>
      <w:bookmarkStart w:id="1062" w:name="_Toc272569257"/>
      <w:bookmarkStart w:id="1063" w:name="_Toc272569441"/>
      <w:bookmarkStart w:id="1064" w:name="_Toc272569578"/>
      <w:bookmarkStart w:id="1065" w:name="_Toc272569714"/>
      <w:bookmarkStart w:id="1066" w:name="_Toc272569865"/>
      <w:bookmarkStart w:id="1067" w:name="_Toc272570188"/>
      <w:bookmarkStart w:id="1068" w:name="_Toc272570322"/>
      <w:bookmarkStart w:id="1069" w:name="_Toc272570455"/>
      <w:bookmarkStart w:id="1070" w:name="_Toc272570589"/>
      <w:bookmarkStart w:id="1071" w:name="_Toc272570722"/>
      <w:bookmarkStart w:id="1072" w:name="_Toc272570855"/>
      <w:bookmarkStart w:id="1073" w:name="_Toc272569106"/>
      <w:bookmarkStart w:id="1074" w:name="_Toc272569258"/>
      <w:bookmarkStart w:id="1075" w:name="_Toc272569442"/>
      <w:bookmarkStart w:id="1076" w:name="_Toc272569579"/>
      <w:bookmarkStart w:id="1077" w:name="_Toc272569715"/>
      <w:bookmarkStart w:id="1078" w:name="_Toc272569866"/>
      <w:bookmarkStart w:id="1079" w:name="_Toc272570189"/>
      <w:bookmarkStart w:id="1080" w:name="_Toc272570323"/>
      <w:bookmarkStart w:id="1081" w:name="_Toc272570456"/>
      <w:bookmarkStart w:id="1082" w:name="_Toc272570590"/>
      <w:bookmarkStart w:id="1083" w:name="_Toc272570723"/>
      <w:bookmarkStart w:id="1084" w:name="_Toc272570856"/>
      <w:bookmarkStart w:id="1085" w:name="_Toc272569107"/>
      <w:bookmarkStart w:id="1086" w:name="_Toc272569259"/>
      <w:bookmarkStart w:id="1087" w:name="_Toc272569443"/>
      <w:bookmarkStart w:id="1088" w:name="_Toc272569580"/>
      <w:bookmarkStart w:id="1089" w:name="_Toc272569716"/>
      <w:bookmarkStart w:id="1090" w:name="_Toc272569867"/>
      <w:bookmarkStart w:id="1091" w:name="_Toc272570190"/>
      <w:bookmarkStart w:id="1092" w:name="_Toc272570324"/>
      <w:bookmarkStart w:id="1093" w:name="_Toc272570457"/>
      <w:bookmarkStart w:id="1094" w:name="_Toc272570591"/>
      <w:bookmarkStart w:id="1095" w:name="_Toc272570724"/>
      <w:bookmarkStart w:id="1096" w:name="_Toc272570857"/>
      <w:bookmarkStart w:id="1097" w:name="_Toc272569108"/>
      <w:bookmarkStart w:id="1098" w:name="_Toc272569260"/>
      <w:bookmarkStart w:id="1099" w:name="_Toc272569444"/>
      <w:bookmarkStart w:id="1100" w:name="_Toc272569581"/>
      <w:bookmarkStart w:id="1101" w:name="_Toc272569717"/>
      <w:bookmarkStart w:id="1102" w:name="_Toc272569868"/>
      <w:bookmarkStart w:id="1103" w:name="_Toc272570191"/>
      <w:bookmarkStart w:id="1104" w:name="_Toc272570325"/>
      <w:bookmarkStart w:id="1105" w:name="_Toc272570458"/>
      <w:bookmarkStart w:id="1106" w:name="_Toc272570592"/>
      <w:bookmarkStart w:id="1107" w:name="_Toc272570725"/>
      <w:bookmarkStart w:id="1108" w:name="_Toc272570858"/>
      <w:bookmarkStart w:id="1109" w:name="_Toc272569109"/>
      <w:bookmarkStart w:id="1110" w:name="_Toc272569261"/>
      <w:bookmarkStart w:id="1111" w:name="_Toc272569445"/>
      <w:bookmarkStart w:id="1112" w:name="_Toc272569582"/>
      <w:bookmarkStart w:id="1113" w:name="_Toc272569718"/>
      <w:bookmarkStart w:id="1114" w:name="_Toc272569869"/>
      <w:bookmarkStart w:id="1115" w:name="_Toc272570192"/>
      <w:bookmarkStart w:id="1116" w:name="_Toc272570326"/>
      <w:bookmarkStart w:id="1117" w:name="_Toc272570459"/>
      <w:bookmarkStart w:id="1118" w:name="_Toc272570593"/>
      <w:bookmarkStart w:id="1119" w:name="_Toc272570726"/>
      <w:bookmarkStart w:id="1120" w:name="_Toc272570859"/>
      <w:bookmarkStart w:id="1121" w:name="_Toc308697698"/>
      <w:bookmarkStart w:id="1122" w:name="_Toc309286220"/>
      <w:bookmarkStart w:id="1123" w:name="_Toc308697699"/>
      <w:bookmarkStart w:id="1124" w:name="_Toc309286221"/>
      <w:bookmarkStart w:id="1125" w:name="_Toc308697700"/>
      <w:bookmarkStart w:id="1126" w:name="_Toc309286222"/>
      <w:bookmarkStart w:id="1127" w:name="_Toc308697701"/>
      <w:bookmarkStart w:id="1128" w:name="_Toc309286223"/>
      <w:bookmarkStart w:id="1129" w:name="_Toc308697702"/>
      <w:bookmarkStart w:id="1130" w:name="_Toc309286224"/>
      <w:bookmarkStart w:id="1131" w:name="_Toc308697703"/>
      <w:bookmarkStart w:id="1132" w:name="_Toc309286225"/>
      <w:bookmarkStart w:id="1133" w:name="_Toc308697704"/>
      <w:bookmarkStart w:id="1134" w:name="_Toc309286226"/>
      <w:bookmarkStart w:id="1135" w:name="_Toc308697705"/>
      <w:bookmarkStart w:id="1136" w:name="_Toc309286227"/>
      <w:bookmarkStart w:id="1137" w:name="_Toc308697706"/>
      <w:bookmarkStart w:id="1138" w:name="_Toc309286228"/>
      <w:bookmarkStart w:id="1139" w:name="_Toc296440221"/>
      <w:bookmarkStart w:id="1140" w:name="_Toc272569113"/>
      <w:bookmarkStart w:id="1141" w:name="_Toc272569265"/>
      <w:bookmarkStart w:id="1142" w:name="_Toc272569449"/>
      <w:bookmarkStart w:id="1143" w:name="_Toc272569586"/>
      <w:bookmarkStart w:id="1144" w:name="_Toc272569722"/>
      <w:bookmarkStart w:id="1145" w:name="_Toc272569873"/>
      <w:bookmarkStart w:id="1146" w:name="_Toc272569114"/>
      <w:bookmarkStart w:id="1147" w:name="_Toc272569266"/>
      <w:bookmarkStart w:id="1148" w:name="_Toc272569450"/>
      <w:bookmarkStart w:id="1149" w:name="_Toc272569587"/>
      <w:bookmarkStart w:id="1150" w:name="_Toc272569723"/>
      <w:bookmarkStart w:id="1151" w:name="_Toc272569874"/>
      <w:bookmarkStart w:id="1152" w:name="_Toc272569115"/>
      <w:bookmarkStart w:id="1153" w:name="_Toc272569267"/>
      <w:bookmarkStart w:id="1154" w:name="_Toc272569451"/>
      <w:bookmarkStart w:id="1155" w:name="_Toc272569588"/>
      <w:bookmarkStart w:id="1156" w:name="_Toc272569724"/>
      <w:bookmarkStart w:id="1157" w:name="_Toc272569875"/>
      <w:bookmarkStart w:id="1158" w:name="_Toc272569116"/>
      <w:bookmarkStart w:id="1159" w:name="_Toc272569268"/>
      <w:bookmarkStart w:id="1160" w:name="_Toc272569452"/>
      <w:bookmarkStart w:id="1161" w:name="_Toc272569589"/>
      <w:bookmarkStart w:id="1162" w:name="_Toc272569725"/>
      <w:bookmarkStart w:id="1163" w:name="_Toc272569876"/>
      <w:bookmarkStart w:id="1164" w:name="_Toc272569117"/>
      <w:bookmarkStart w:id="1165" w:name="_Toc272569269"/>
      <w:bookmarkStart w:id="1166" w:name="_Toc272569453"/>
      <w:bookmarkStart w:id="1167" w:name="_Toc272569590"/>
      <w:bookmarkStart w:id="1168" w:name="_Toc272569726"/>
      <w:bookmarkStart w:id="1169" w:name="_Toc272569877"/>
      <w:bookmarkStart w:id="1170" w:name="_Toc272569118"/>
      <w:bookmarkStart w:id="1171" w:name="_Toc272569270"/>
      <w:bookmarkStart w:id="1172" w:name="_Toc272569454"/>
      <w:bookmarkStart w:id="1173" w:name="_Toc272569591"/>
      <w:bookmarkStart w:id="1174" w:name="_Toc272569727"/>
      <w:bookmarkStart w:id="1175" w:name="_Toc272569878"/>
      <w:bookmarkStart w:id="1176" w:name="_Toc20148496"/>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487553">
        <w:rPr>
          <w:rFonts w:asciiTheme="minorEastAsia" w:eastAsiaTheme="minorEastAsia" w:hAnsiTheme="minorEastAsia" w:hint="eastAsia"/>
        </w:rPr>
        <w:lastRenderedPageBreak/>
        <w:t>境外</w:t>
      </w:r>
      <w:r w:rsidRPr="00487553">
        <w:rPr>
          <w:rFonts w:asciiTheme="minorEastAsia" w:eastAsiaTheme="minorEastAsia" w:hAnsiTheme="minorEastAsia"/>
        </w:rPr>
        <w:t>托管人</w:t>
      </w:r>
      <w:bookmarkEnd w:id="1176"/>
    </w:p>
    <w:p w14:paraId="1CEC1C67" w14:textId="77777777" w:rsidR="00326639" w:rsidRPr="00487553" w:rsidRDefault="00326639" w:rsidP="00347BD1">
      <w:pPr>
        <w:pStyle w:val="2"/>
        <w:numPr>
          <w:ilvl w:val="0"/>
          <w:numId w:val="76"/>
        </w:numPr>
        <w:snapToGrid w:val="0"/>
        <w:spacing w:beforeLines="0" w:afterLines="0" w:line="360" w:lineRule="auto"/>
        <w:ind w:firstLineChars="0"/>
        <w:rPr>
          <w:rFonts w:asciiTheme="minorEastAsia" w:eastAsiaTheme="minorEastAsia" w:hAnsiTheme="minorEastAsia"/>
        </w:rPr>
      </w:pPr>
      <w:bookmarkStart w:id="1177" w:name="_Toc415044997"/>
      <w:bookmarkStart w:id="1178" w:name="_Toc306614284"/>
      <w:bookmarkStart w:id="1179" w:name="_Toc296527054"/>
      <w:bookmarkStart w:id="1180" w:name="_Toc296440220"/>
      <w:bookmarkStart w:id="1181" w:name="_Toc20148497"/>
      <w:r w:rsidRPr="00487553">
        <w:rPr>
          <w:rFonts w:asciiTheme="minorEastAsia" w:eastAsiaTheme="minorEastAsia" w:hAnsiTheme="minorEastAsia" w:hint="eastAsia"/>
          <w:b w:val="0"/>
        </w:rPr>
        <w:t>基本情况</w:t>
      </w:r>
      <w:bookmarkEnd w:id="1177"/>
      <w:bookmarkEnd w:id="1178"/>
      <w:bookmarkEnd w:id="1179"/>
      <w:bookmarkEnd w:id="1180"/>
      <w:bookmarkEnd w:id="1181"/>
      <w:r w:rsidRPr="00487553">
        <w:rPr>
          <w:rFonts w:asciiTheme="minorEastAsia" w:eastAsiaTheme="minorEastAsia" w:hAnsiTheme="minorEastAsia" w:hint="eastAsia"/>
          <w:b w:val="0"/>
        </w:rPr>
        <w:tab/>
      </w:r>
    </w:p>
    <w:p w14:paraId="5E8C146C" w14:textId="162BC9B4"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名称:香港上海汇丰银行有限公司</w:t>
      </w:r>
    </w:p>
    <w:p w14:paraId="3EF851F2" w14:textId="11CB01F5"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注册地址:香港中环皇后大道中一号汇丰总行大厦</w:t>
      </w:r>
    </w:p>
    <w:p w14:paraId="576C7B2B" w14:textId="1743E425"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办公地址:香港九龙深旺道一号,汇丰中心一座六楼</w:t>
      </w:r>
    </w:p>
    <w:p w14:paraId="08D5ECB7" w14:textId="629F2002" w:rsidR="006C522E" w:rsidRPr="00487553" w:rsidRDefault="006C522E"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成立日期：1865年</w:t>
      </w:r>
    </w:p>
    <w:p w14:paraId="77BDFAAF" w14:textId="22941564"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管理层:</w:t>
      </w:r>
    </w:p>
    <w:p w14:paraId="12C48F46" w14:textId="7777777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行政总裁:</w:t>
      </w:r>
      <w:r w:rsidRPr="00487553">
        <w:rPr>
          <w:rFonts w:asciiTheme="minorEastAsia" w:eastAsiaTheme="minorEastAsia" w:hAnsiTheme="minorEastAsia"/>
        </w:rPr>
        <w:tab/>
      </w:r>
      <w:r w:rsidRPr="00487553">
        <w:rPr>
          <w:rFonts w:asciiTheme="minorEastAsia" w:eastAsiaTheme="minorEastAsia" w:hAnsiTheme="minorEastAsia" w:hint="eastAsia"/>
        </w:rPr>
        <w:t>王冬胜</w:t>
      </w:r>
    </w:p>
    <w:p w14:paraId="19B92063" w14:textId="39778CC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联系人:</w:t>
      </w:r>
      <w:r w:rsidRPr="00487553">
        <w:rPr>
          <w:rFonts w:asciiTheme="minorEastAsia" w:eastAsiaTheme="minorEastAsia" w:hAnsiTheme="minorEastAsia"/>
        </w:rPr>
        <w:tab/>
      </w:r>
      <w:r w:rsidRPr="00487553">
        <w:rPr>
          <w:rFonts w:asciiTheme="minorEastAsia" w:eastAsiaTheme="minorEastAsia" w:hAnsiTheme="minorEastAsia" w:hint="eastAsia"/>
        </w:rPr>
        <w:t>钟咏苓</w:t>
      </w:r>
    </w:p>
    <w:p w14:paraId="6E1C3307" w14:textId="516B964B"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电话:</w:t>
      </w:r>
      <w:r w:rsidRPr="00487553">
        <w:rPr>
          <w:rFonts w:asciiTheme="minorEastAsia" w:eastAsiaTheme="minorEastAsia" w:hAnsiTheme="minorEastAsia"/>
        </w:rPr>
        <w:t>+862138882381</w:t>
      </w:r>
    </w:p>
    <w:p w14:paraId="4ADE952B" w14:textId="27718A4C"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Email:sophiachung@hsbc.com.cn</w:t>
      </w:r>
    </w:p>
    <w:p w14:paraId="580D75C0" w14:textId="49D35149"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公司网址:</w:t>
      </w:r>
      <w:hyperlink r:id="rId17" w:history="1">
        <w:r w:rsidRPr="00487553">
          <w:rPr>
            <w:rFonts w:asciiTheme="minorEastAsia" w:eastAsiaTheme="minorEastAsia" w:hAnsiTheme="minorEastAsia"/>
          </w:rPr>
          <w:t>www.hsbc.com</w:t>
        </w:r>
      </w:hyperlink>
    </w:p>
    <w:p w14:paraId="685C5033" w14:textId="77777777" w:rsidR="000F0E7B" w:rsidRPr="00487553" w:rsidRDefault="000F0E7B" w:rsidP="000F0E7B">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2018年12月31日公司股本：1,723.35亿港元</w:t>
      </w:r>
    </w:p>
    <w:p w14:paraId="05971DF8" w14:textId="09E431C4" w:rsidR="00CC0679" w:rsidRPr="00487553" w:rsidRDefault="000F0E7B"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2018年12月31日托管资产规模：7.4万亿美元</w:t>
      </w:r>
    </w:p>
    <w:p w14:paraId="1165630D" w14:textId="7777777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信用等级：标准普尔AA-</w:t>
      </w:r>
    </w:p>
    <w:p w14:paraId="7995A6C9" w14:textId="7777777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汇丰是全球最大的银行及金融服务机构之一。我们通过四大环球业务：零售银行及财富管理、工商金融、环球银行及资本市场以及环球私人银行，为约3,800万名客户提供服务。我们的业务网络遍及欧洲、亚洲、中东及非洲、北美和拉美，覆盖全球66个国家和地区。</w:t>
      </w:r>
    </w:p>
    <w:p w14:paraId="7D2C6EA4" w14:textId="7777777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汇丰在全球设有约3,800个办事处，旨在把握市场增长机会，致力建立联系以协助客户开拓商机，推动企业茁壮成长及各地经济繁荣发展，而最终目标是让客户实现理想。</w:t>
      </w:r>
    </w:p>
    <w:p w14:paraId="2C9D9313" w14:textId="7C6D7FD7" w:rsidR="00CC0679" w:rsidRPr="00487553" w:rsidRDefault="00CC0679" w:rsidP="00AE504D">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汇丰控股有限公司在伦敦、香港、纽约、巴黎和百慕大证券交易所上市，股东</w:t>
      </w:r>
      <w:r w:rsidRPr="00487553">
        <w:rPr>
          <w:rFonts w:asciiTheme="minorEastAsia" w:eastAsiaTheme="minorEastAsia" w:hAnsiTheme="minorEastAsia"/>
        </w:rPr>
        <w:t>200,000</w:t>
      </w:r>
      <w:r w:rsidRPr="00487553">
        <w:rPr>
          <w:rFonts w:asciiTheme="minorEastAsia" w:eastAsiaTheme="minorEastAsia" w:hAnsiTheme="minorEastAsia" w:hint="eastAsia"/>
        </w:rPr>
        <w:t>名，遍布全球</w:t>
      </w:r>
      <w:r w:rsidRPr="00487553">
        <w:rPr>
          <w:rFonts w:asciiTheme="minorEastAsia" w:eastAsiaTheme="minorEastAsia" w:hAnsiTheme="minorEastAsia"/>
        </w:rPr>
        <w:t>125</w:t>
      </w:r>
      <w:r w:rsidRPr="00487553">
        <w:rPr>
          <w:rFonts w:asciiTheme="minorEastAsia" w:eastAsiaTheme="minorEastAsia" w:hAnsiTheme="minorEastAsia" w:hint="eastAsia"/>
        </w:rPr>
        <w:t>个国家和地区。</w:t>
      </w:r>
    </w:p>
    <w:p w14:paraId="5D988D1D" w14:textId="64F786AC" w:rsidR="00D94E68" w:rsidRPr="00487553" w:rsidRDefault="00D94E68" w:rsidP="00CC0679">
      <w:pPr>
        <w:tabs>
          <w:tab w:val="num" w:pos="840"/>
        </w:tabs>
        <w:adjustRightInd w:val="0"/>
        <w:snapToGrid w:val="0"/>
        <w:spacing w:line="360" w:lineRule="auto"/>
        <w:ind w:firstLineChars="200" w:firstLine="420"/>
        <w:rPr>
          <w:rFonts w:asciiTheme="minorEastAsia" w:eastAsiaTheme="minorEastAsia" w:hAnsiTheme="minorEastAsia"/>
        </w:rPr>
      </w:pPr>
    </w:p>
    <w:p w14:paraId="406A8513" w14:textId="77777777" w:rsidR="00326639" w:rsidRPr="00487553" w:rsidRDefault="00326639" w:rsidP="00347BD1">
      <w:pPr>
        <w:pStyle w:val="2"/>
        <w:numPr>
          <w:ilvl w:val="0"/>
          <w:numId w:val="76"/>
        </w:numPr>
        <w:snapToGrid w:val="0"/>
        <w:spacing w:beforeLines="0" w:afterLines="0" w:line="360" w:lineRule="auto"/>
        <w:ind w:firstLineChars="0"/>
        <w:rPr>
          <w:rFonts w:asciiTheme="minorEastAsia" w:eastAsiaTheme="minorEastAsia" w:hAnsiTheme="minorEastAsia"/>
        </w:rPr>
      </w:pPr>
      <w:bookmarkStart w:id="1182" w:name="_Toc308079938"/>
      <w:bookmarkStart w:id="1183" w:name="_Toc308079939"/>
      <w:bookmarkStart w:id="1184" w:name="_Toc308079940"/>
      <w:bookmarkStart w:id="1185" w:name="_Toc308079941"/>
      <w:bookmarkStart w:id="1186" w:name="_Toc308079942"/>
      <w:bookmarkStart w:id="1187" w:name="_Toc308079943"/>
      <w:bookmarkStart w:id="1188" w:name="_Toc308079944"/>
      <w:bookmarkStart w:id="1189" w:name="_Toc308079945"/>
      <w:bookmarkStart w:id="1190" w:name="_Toc308079946"/>
      <w:bookmarkStart w:id="1191" w:name="_Toc296440222"/>
      <w:bookmarkStart w:id="1192" w:name="_Toc296527055"/>
      <w:bookmarkStart w:id="1193" w:name="_Toc306614285"/>
      <w:bookmarkStart w:id="1194" w:name="_Toc415044998"/>
      <w:bookmarkStart w:id="1195" w:name="_Toc20148498"/>
      <w:bookmarkEnd w:id="1182"/>
      <w:bookmarkEnd w:id="1183"/>
      <w:bookmarkEnd w:id="1184"/>
      <w:bookmarkEnd w:id="1185"/>
      <w:bookmarkEnd w:id="1186"/>
      <w:bookmarkEnd w:id="1187"/>
      <w:bookmarkEnd w:id="1188"/>
      <w:bookmarkEnd w:id="1189"/>
      <w:bookmarkEnd w:id="1190"/>
      <w:r w:rsidRPr="00487553">
        <w:rPr>
          <w:rFonts w:asciiTheme="minorEastAsia" w:eastAsiaTheme="minorEastAsia" w:hAnsiTheme="minorEastAsia" w:hint="eastAsia"/>
          <w:b w:val="0"/>
        </w:rPr>
        <w:t>境外托管人的职责</w:t>
      </w:r>
      <w:bookmarkEnd w:id="1191"/>
      <w:bookmarkEnd w:id="1192"/>
      <w:bookmarkEnd w:id="1193"/>
      <w:bookmarkEnd w:id="1194"/>
      <w:bookmarkEnd w:id="1195"/>
    </w:p>
    <w:p w14:paraId="51800730" w14:textId="77777777" w:rsidR="00D94E68" w:rsidRPr="00487553" w:rsidRDefault="0069108D" w:rsidP="00D94E68">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对基金的境外财产，基金托管人可以授权境外资产托管人代为履行其对基金的受托人职责，包括但不限于：</w:t>
      </w:r>
    </w:p>
    <w:p w14:paraId="37A09BBF" w14:textId="793A26B4" w:rsidR="00C724EA" w:rsidRPr="00487553" w:rsidRDefault="0069108D" w:rsidP="00C724EA">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1、仅在依基金托管人指示之情形下，依规定之形式及方式转移、交换或交付其于境外资产托管协议下为基金托管之QDII客持有之投资；</w:t>
      </w:r>
    </w:p>
    <w:p w14:paraId="2783CA07" w14:textId="77777777" w:rsidR="00D94E68" w:rsidRPr="00487553" w:rsidRDefault="0069108D" w:rsidP="00C724EA">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2、按照相关合同的约定,计算境外受托资产的资产净值，提供与受托资产业务活动有关的会计、交易记录、并保存受托资产托管业务活动的记录、账册以及其他相关资料。</w:t>
      </w:r>
    </w:p>
    <w:p w14:paraId="05EA27A4" w14:textId="46EBC4BF" w:rsidR="00D94E68" w:rsidRPr="00487553" w:rsidRDefault="0069108D" w:rsidP="00D94E68">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境外托管人须及促使其次托管人或代表人尽其合理努力及判断力履行有关协议所规定之责任与义务，但境外托管人或其代表人或次托管人并无欺诈、疏忽、故意失责或违约之</w:t>
      </w:r>
      <w:r w:rsidRPr="00487553">
        <w:rPr>
          <w:rFonts w:asciiTheme="minorEastAsia" w:eastAsiaTheme="minorEastAsia" w:hAnsiTheme="minorEastAsia" w:hint="eastAsia"/>
        </w:rPr>
        <w:lastRenderedPageBreak/>
        <w:t>情况下，境外托管代理人或其代表人或次托管人及其董事、人员及其代理人就其等因善意及恰當地履行境外资产托管协议，或依照基金托管人(或其获授权人)之指示或所为之行为而导致托管资产遭受之任何损失、费用或任何后果均不用负上法律责任。</w:t>
      </w:r>
    </w:p>
    <w:p w14:paraId="02FF81CB" w14:textId="77777777" w:rsidR="00D94E68" w:rsidRPr="00487553" w:rsidRDefault="0069108D" w:rsidP="00D94E68">
      <w:pPr>
        <w:tabs>
          <w:tab w:val="num" w:pos="840"/>
        </w:tabs>
        <w:adjustRightInd w:val="0"/>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境外托管人在履行职责过程中，因本身欺诈、疏忽、故意失责或违约而导致托管资产遭受之损失(但任何附带、间接、特别、从属损害或惩戒性损害赔偿除外)的，基金托管人应当承担相应责任。在决定境外托管人是否有过错、疏忽等不当行为，应根据基金托管人与境外托管人之间的协议的适用法律及当地的证券市场惯例决定。</w:t>
      </w:r>
    </w:p>
    <w:p w14:paraId="1F22F99A" w14:textId="7777777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196" w:name="_Toc20148499"/>
      <w:r w:rsidRPr="00487553">
        <w:rPr>
          <w:rFonts w:asciiTheme="minorEastAsia" w:eastAsiaTheme="minorEastAsia" w:hAnsiTheme="minorEastAsia"/>
        </w:rPr>
        <w:lastRenderedPageBreak/>
        <w:t>相关服务机构</w:t>
      </w:r>
      <w:bookmarkEnd w:id="1196"/>
    </w:p>
    <w:p w14:paraId="1BCE4CE9" w14:textId="77777777" w:rsidR="0064594E" w:rsidRPr="00487553" w:rsidRDefault="0064594E" w:rsidP="001016DC">
      <w:pPr>
        <w:pStyle w:val="2"/>
        <w:numPr>
          <w:ilvl w:val="0"/>
          <w:numId w:val="30"/>
        </w:numPr>
        <w:snapToGrid w:val="0"/>
        <w:spacing w:beforeLines="0" w:afterLines="0" w:line="360" w:lineRule="auto"/>
        <w:ind w:firstLineChars="0"/>
        <w:rPr>
          <w:rFonts w:asciiTheme="minorEastAsia" w:eastAsiaTheme="minorEastAsia" w:hAnsiTheme="minorEastAsia"/>
        </w:rPr>
      </w:pPr>
      <w:bookmarkStart w:id="1197" w:name="_Toc296527057"/>
      <w:bookmarkStart w:id="1198" w:name="_Toc306614287"/>
      <w:bookmarkStart w:id="1199" w:name="_Toc20148500"/>
      <w:r w:rsidRPr="00487553">
        <w:rPr>
          <w:rFonts w:asciiTheme="minorEastAsia" w:eastAsiaTheme="minorEastAsia" w:hAnsiTheme="minorEastAsia"/>
        </w:rPr>
        <w:t>基金份额</w:t>
      </w:r>
      <w:r w:rsidR="00BD45C2" w:rsidRPr="00487553">
        <w:rPr>
          <w:rFonts w:asciiTheme="minorEastAsia" w:eastAsiaTheme="minorEastAsia" w:hAnsiTheme="minorEastAsia" w:hint="eastAsia"/>
        </w:rPr>
        <w:t>销</w:t>
      </w:r>
      <w:r w:rsidR="00BD45C2" w:rsidRPr="00487553">
        <w:rPr>
          <w:rFonts w:asciiTheme="minorEastAsia" w:eastAsiaTheme="minorEastAsia" w:hAnsiTheme="minorEastAsia"/>
        </w:rPr>
        <w:t>售</w:t>
      </w:r>
      <w:r w:rsidRPr="00487553">
        <w:rPr>
          <w:rFonts w:asciiTheme="minorEastAsia" w:eastAsiaTheme="minorEastAsia" w:hAnsiTheme="minorEastAsia"/>
        </w:rPr>
        <w:t>机构</w:t>
      </w:r>
      <w:bookmarkEnd w:id="1197"/>
      <w:bookmarkEnd w:id="1198"/>
      <w:bookmarkEnd w:id="1199"/>
    </w:p>
    <w:p w14:paraId="54694775" w14:textId="77777777" w:rsidR="00C11EBF" w:rsidRPr="00487553" w:rsidRDefault="0064594E"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1、</w:t>
      </w:r>
      <w:r w:rsidR="00C11EBF" w:rsidRPr="00487553">
        <w:rPr>
          <w:rFonts w:asciiTheme="minorEastAsia" w:eastAsiaTheme="minorEastAsia" w:hAnsiTheme="minorEastAsia" w:hint="eastAsia"/>
          <w:szCs w:val="21"/>
        </w:rPr>
        <w:t>直销机构：易方达基金管理有限公司</w:t>
      </w:r>
    </w:p>
    <w:p w14:paraId="65E731E9"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w:t>
      </w:r>
      <w:r w:rsidR="00666D72" w:rsidRPr="00487553">
        <w:rPr>
          <w:rFonts w:asciiTheme="minorEastAsia" w:eastAsiaTheme="minorEastAsia" w:hAnsiTheme="minorEastAsia" w:hint="eastAsia"/>
        </w:rPr>
        <w:t>广东省珠海市横琴</w:t>
      </w:r>
      <w:r w:rsidR="00666D72" w:rsidRPr="00487553">
        <w:rPr>
          <w:rFonts w:asciiTheme="minorEastAsia" w:eastAsiaTheme="minorEastAsia" w:hAnsiTheme="minorEastAsia" w:hint="eastAsia"/>
          <w:szCs w:val="21"/>
        </w:rPr>
        <w:t>新区宝华路6号105室－42891（集中办公区）</w:t>
      </w:r>
    </w:p>
    <w:p w14:paraId="7172B2C0"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w:t>
      </w:r>
      <w:r w:rsidR="007D2394" w:rsidRPr="00487553">
        <w:rPr>
          <w:rFonts w:asciiTheme="minorEastAsia" w:eastAsiaTheme="minorEastAsia" w:hAnsiTheme="minorEastAsia" w:hint="eastAsia"/>
          <w:szCs w:val="21"/>
        </w:rPr>
        <w:t>广州市天河区珠江新城珠江东路30号广州银行大厦40-43楼</w:t>
      </w:r>
    </w:p>
    <w:p w14:paraId="58405A4C"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w:t>
      </w:r>
      <w:r w:rsidR="00126439" w:rsidRPr="00487553">
        <w:rPr>
          <w:rFonts w:asciiTheme="minorEastAsia" w:eastAsiaTheme="minorEastAsia" w:hAnsiTheme="minorEastAsia" w:hint="eastAsia"/>
          <w:szCs w:val="21"/>
        </w:rPr>
        <w:t>刘晓艳</w:t>
      </w:r>
    </w:p>
    <w:p w14:paraId="37D4FAD7"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电话：020-85102506</w:t>
      </w:r>
    </w:p>
    <w:p w14:paraId="00A7CCCC"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传真：4008818099</w:t>
      </w:r>
    </w:p>
    <w:p w14:paraId="4068548C" w14:textId="77777777" w:rsidR="003237C5"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w:t>
      </w:r>
      <w:r w:rsidR="00353E3D" w:rsidRPr="00487553">
        <w:rPr>
          <w:rFonts w:asciiTheme="minorEastAsia" w:eastAsiaTheme="minorEastAsia" w:hAnsiTheme="minorEastAsia" w:hint="eastAsia"/>
          <w:szCs w:val="21"/>
        </w:rPr>
        <w:t>李</w:t>
      </w:r>
      <w:r w:rsidR="00353E3D" w:rsidRPr="00487553">
        <w:rPr>
          <w:rFonts w:asciiTheme="minorEastAsia" w:eastAsiaTheme="minorEastAsia" w:hAnsiTheme="minorEastAsia"/>
          <w:szCs w:val="21"/>
        </w:rPr>
        <w:t>红枫</w:t>
      </w:r>
    </w:p>
    <w:p w14:paraId="7D805FAA" w14:textId="77777777" w:rsidR="00C11EBF" w:rsidRPr="00487553" w:rsidRDefault="00C11EBF"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t>
      </w:r>
      <w:hyperlink r:id="rId18" w:history="1">
        <w:r w:rsidRPr="00487553">
          <w:rPr>
            <w:rFonts w:asciiTheme="minorEastAsia" w:eastAsiaTheme="minorEastAsia" w:hAnsiTheme="minorEastAsia" w:hint="eastAsia"/>
            <w:szCs w:val="21"/>
          </w:rPr>
          <w:t>www.efunds.com.cn</w:t>
        </w:r>
      </w:hyperlink>
    </w:p>
    <w:p w14:paraId="40E2FC23" w14:textId="77777777" w:rsidR="007D2394" w:rsidRPr="00487553" w:rsidRDefault="007D2394"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直销机构网点信息：</w:t>
      </w:r>
    </w:p>
    <w:p w14:paraId="5EEF9C76"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（1）易方达基金管理有限公司广州直销中心</w:t>
      </w:r>
    </w:p>
    <w:p w14:paraId="29523B3A"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办公地址：广州市天河区珠江新城珠江东路30号广州银行大厦40楼</w:t>
      </w:r>
    </w:p>
    <w:p w14:paraId="52B6EA2C"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电话：020-85102506</w:t>
      </w:r>
    </w:p>
    <w:p w14:paraId="4E428C79" w14:textId="1B46A33F"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传真：4008818099</w:t>
      </w:r>
    </w:p>
    <w:p w14:paraId="6A13ECC6"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联系人：李红枫</w:t>
      </w:r>
    </w:p>
    <w:p w14:paraId="196F5A93"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（2）易方达基金管理有限公司北京直销中心</w:t>
      </w:r>
    </w:p>
    <w:p w14:paraId="5FF2696E" w14:textId="3FFD74BF"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w:t>
      </w:r>
      <w:r w:rsidR="00361AD0" w:rsidRPr="00487553">
        <w:rPr>
          <w:rFonts w:asciiTheme="minorEastAsia" w:eastAsiaTheme="minorEastAsia" w:hAnsiTheme="minorEastAsia" w:hint="eastAsia"/>
          <w:kern w:val="0"/>
        </w:rPr>
        <w:t>武定侯街</w:t>
      </w:r>
      <w:r w:rsidR="00361AD0" w:rsidRPr="00487553">
        <w:rPr>
          <w:rFonts w:asciiTheme="minorEastAsia" w:eastAsiaTheme="minorEastAsia" w:hAnsiTheme="minorEastAsia"/>
          <w:kern w:val="0"/>
        </w:rPr>
        <w:t>2</w:t>
      </w:r>
      <w:r w:rsidR="00361AD0" w:rsidRPr="00487553">
        <w:rPr>
          <w:rFonts w:asciiTheme="minorEastAsia" w:eastAsiaTheme="minorEastAsia" w:hAnsiTheme="minorEastAsia" w:hint="eastAsia"/>
          <w:kern w:val="0"/>
        </w:rPr>
        <w:t>号泰康国际大厦</w:t>
      </w:r>
      <w:r w:rsidR="00361AD0" w:rsidRPr="00487553">
        <w:rPr>
          <w:rFonts w:asciiTheme="minorEastAsia" w:eastAsiaTheme="minorEastAsia" w:hAnsiTheme="minorEastAsia"/>
          <w:kern w:val="0"/>
        </w:rPr>
        <w:t>18</w:t>
      </w:r>
      <w:r w:rsidR="00361AD0" w:rsidRPr="00487553">
        <w:rPr>
          <w:rFonts w:asciiTheme="minorEastAsia" w:eastAsiaTheme="minorEastAsia" w:hAnsiTheme="minorEastAsia" w:hint="eastAsia"/>
          <w:kern w:val="0"/>
        </w:rPr>
        <w:t>层</w:t>
      </w:r>
    </w:p>
    <w:p w14:paraId="71C38B5B"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电话：010-63213377</w:t>
      </w:r>
    </w:p>
    <w:p w14:paraId="75C61F8F" w14:textId="6A8CC1F8"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传真：4008818099</w:t>
      </w:r>
    </w:p>
    <w:p w14:paraId="4CB5BABE"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联系人：刘蕾</w:t>
      </w:r>
    </w:p>
    <w:p w14:paraId="72C9E65C"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（3）易方达基金管理有限公司上海直销中心</w:t>
      </w:r>
    </w:p>
    <w:p w14:paraId="4697415F"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w:t>
      </w:r>
      <w:r w:rsidRPr="00487553">
        <w:rPr>
          <w:rFonts w:asciiTheme="minorEastAsia" w:eastAsiaTheme="minorEastAsia" w:hAnsiTheme="minorEastAsia"/>
          <w:szCs w:val="21"/>
        </w:rPr>
        <w:t>新区</w:t>
      </w:r>
      <w:r w:rsidRPr="00487553">
        <w:rPr>
          <w:rFonts w:asciiTheme="minorEastAsia" w:eastAsiaTheme="minorEastAsia" w:hAnsiTheme="minorEastAsia" w:hint="eastAsia"/>
          <w:szCs w:val="21"/>
        </w:rPr>
        <w:t>世纪大道88号金茂大厦</w:t>
      </w:r>
      <w:r w:rsidRPr="00487553">
        <w:rPr>
          <w:rFonts w:asciiTheme="minorEastAsia" w:eastAsiaTheme="minorEastAsia" w:hAnsiTheme="minorEastAsia"/>
          <w:szCs w:val="21"/>
        </w:rPr>
        <w:t>46楼</w:t>
      </w:r>
    </w:p>
    <w:p w14:paraId="33B3AD5C"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电话：021-50476668</w:t>
      </w:r>
    </w:p>
    <w:p w14:paraId="0F0E5FB7" w14:textId="005482DF"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传真：4008818099</w:t>
      </w:r>
    </w:p>
    <w:p w14:paraId="357AB949"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联系人：于楠</w:t>
      </w:r>
    </w:p>
    <w:p w14:paraId="4022FC23" w14:textId="77777777" w:rsidR="00C4607A" w:rsidRPr="00487553" w:rsidRDefault="00C4607A" w:rsidP="00C4607A">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（4）易方达基金管理有限公司网上交易系统</w:t>
      </w:r>
    </w:p>
    <w:p w14:paraId="192FA3A8" w14:textId="77777777" w:rsidR="00C4607A" w:rsidRPr="00487553" w:rsidRDefault="00C4607A"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网址：www.efunds.com.cn</w:t>
      </w:r>
    </w:p>
    <w:p w14:paraId="53A62ECF" w14:textId="7F6A89E5" w:rsidR="004B2853" w:rsidRPr="00487553" w:rsidRDefault="0023170B" w:rsidP="0048755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w:t>
      </w:r>
      <w:r w:rsidR="004B2853" w:rsidRPr="00487553">
        <w:rPr>
          <w:rFonts w:asciiTheme="minorEastAsia" w:eastAsiaTheme="minorEastAsia" w:hAnsiTheme="minorEastAsia" w:hint="eastAsia"/>
          <w:szCs w:val="21"/>
        </w:rPr>
        <w:t>非直销销售机构</w:t>
      </w:r>
      <w:r w:rsidR="00743838" w:rsidRPr="00487553">
        <w:rPr>
          <w:rFonts w:asciiTheme="minorEastAsia" w:eastAsiaTheme="minorEastAsia" w:hAnsiTheme="minorEastAsia" w:hint="eastAsia"/>
          <w:szCs w:val="21"/>
        </w:rPr>
        <w:t>（以下排序不分先后）</w:t>
      </w:r>
    </w:p>
    <w:p w14:paraId="5379E0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（1）A类人民币基金份额</w:t>
      </w:r>
    </w:p>
    <w:p w14:paraId="05B687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 交通银行</w:t>
      </w:r>
    </w:p>
    <w:p w14:paraId="46832F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注册地址：中国（上海）自由贸易试验区银城中路188号</w:t>
      </w:r>
    </w:p>
    <w:p w14:paraId="31BCCF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办公地址：中国（上海）自由贸易试验区银城中路188号</w:t>
      </w:r>
    </w:p>
    <w:p w14:paraId="336BEE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法定代表人：彭纯</w:t>
      </w:r>
    </w:p>
    <w:p w14:paraId="4EB0AF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联系人：王菁</w:t>
      </w:r>
    </w:p>
    <w:p w14:paraId="6B5716D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联系电话：021-58781234</w:t>
      </w:r>
    </w:p>
    <w:p w14:paraId="0713E5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客户服务电话：95559</w:t>
      </w:r>
    </w:p>
    <w:p w14:paraId="214572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网址：www.bankcomm.com</w:t>
      </w:r>
    </w:p>
    <w:p w14:paraId="005378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 渤海银行</w:t>
      </w:r>
    </w:p>
    <w:p w14:paraId="1D39EA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注册地址：天津市河东区海河东路218号</w:t>
      </w:r>
    </w:p>
    <w:p w14:paraId="51F643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办公地址：天津市河东区海河东路218号渤海银行大厦</w:t>
      </w:r>
    </w:p>
    <w:p w14:paraId="6F7E6B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法定代表人：李伏安</w:t>
      </w:r>
    </w:p>
    <w:p w14:paraId="5FF98B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联系人：王宏</w:t>
      </w:r>
    </w:p>
    <w:p w14:paraId="036408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联系电话：022-58316666</w:t>
      </w:r>
    </w:p>
    <w:p w14:paraId="2FB1E1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客户服务电话：95541</w:t>
      </w:r>
    </w:p>
    <w:p w14:paraId="563747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传真：022-58316569</w:t>
      </w:r>
    </w:p>
    <w:p w14:paraId="21C4B9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网址：www.cbhb.com.cn</w:t>
      </w:r>
    </w:p>
    <w:p w14:paraId="131F32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 广发银行</w:t>
      </w:r>
    </w:p>
    <w:p w14:paraId="2EF204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注册地址：广东省广州市越秀区东风东路713号</w:t>
      </w:r>
    </w:p>
    <w:p w14:paraId="15B09C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办公地址：广东省广州市越秀区东风东路713号</w:t>
      </w:r>
    </w:p>
    <w:p w14:paraId="336800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法定代表人：王滨</w:t>
      </w:r>
    </w:p>
    <w:p w14:paraId="37D6A5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客户服务电话：400-830-8003</w:t>
      </w:r>
    </w:p>
    <w:p w14:paraId="409045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网址：www.cgbchina.com.cn</w:t>
      </w:r>
    </w:p>
    <w:p w14:paraId="79D0BB3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 华夏银行</w:t>
      </w:r>
    </w:p>
    <w:p w14:paraId="57AB90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注册地址：北京市东城区建国门内大街22号</w:t>
      </w:r>
    </w:p>
    <w:p w14:paraId="6BC66A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办公地址：北京市东城区建国门内大街22号华夏银行大厦</w:t>
      </w:r>
    </w:p>
    <w:p w14:paraId="360023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法定代表人：李民吉</w:t>
      </w:r>
    </w:p>
    <w:p w14:paraId="3E58B1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联系人：王者凡</w:t>
      </w:r>
    </w:p>
    <w:p w14:paraId="6B9F31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客户服务电话：95577</w:t>
      </w:r>
    </w:p>
    <w:p w14:paraId="553160B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传真：010-85238680</w:t>
      </w:r>
    </w:p>
    <w:p w14:paraId="6257CE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网址：www.hxb.com.cn</w:t>
      </w:r>
    </w:p>
    <w:p w14:paraId="5D9441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 平安银行</w:t>
      </w:r>
    </w:p>
    <w:p w14:paraId="1B9991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注册地址：广东省深圳市罗湖区深南东路5047号</w:t>
      </w:r>
    </w:p>
    <w:p w14:paraId="6D743D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办公地址：广东省深圳市罗湖区深南东路5047号</w:t>
      </w:r>
    </w:p>
    <w:p w14:paraId="1F5AEA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法定代表人：谢永林</w:t>
      </w:r>
    </w:p>
    <w:p w14:paraId="7DE0D2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联系人：赵杨</w:t>
      </w:r>
    </w:p>
    <w:p w14:paraId="350510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联系电话：0755-22166574</w:t>
      </w:r>
    </w:p>
    <w:p w14:paraId="1E6206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客户服务电话：95511-3</w:t>
      </w:r>
    </w:p>
    <w:p w14:paraId="319887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传真：021-50979507</w:t>
      </w:r>
    </w:p>
    <w:p w14:paraId="4394DB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网址：bank.pingan.com</w:t>
      </w:r>
    </w:p>
    <w:p w14:paraId="40C6EE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 浦发银行</w:t>
      </w:r>
    </w:p>
    <w:p w14:paraId="2AABA8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注册地址：上海市中山东一路12号</w:t>
      </w:r>
    </w:p>
    <w:p w14:paraId="167AC7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办公地址：上海市中山东一路12号</w:t>
      </w:r>
    </w:p>
    <w:p w14:paraId="7F55E46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法定代表人：高国富</w:t>
      </w:r>
    </w:p>
    <w:p w14:paraId="1D2770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联系人：赵守良</w:t>
      </w:r>
    </w:p>
    <w:p w14:paraId="0D0FC9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联系电话：021-61618888</w:t>
      </w:r>
    </w:p>
    <w:p w14:paraId="319EFD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客户服务电话：95528</w:t>
      </w:r>
    </w:p>
    <w:p w14:paraId="3B809A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传真：021-63604196</w:t>
      </w:r>
    </w:p>
    <w:p w14:paraId="4FA4E7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网址：www.spdb.com.cn</w:t>
      </w:r>
    </w:p>
    <w:p w14:paraId="044A91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 招商银行</w:t>
      </w:r>
    </w:p>
    <w:p w14:paraId="3BCDDF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注册地址：深圳市福田区深南大道7088号招商银行大厦</w:t>
      </w:r>
    </w:p>
    <w:p w14:paraId="63FE9C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办公地址：深圳市福田区深南大道7088号招商银行大厦</w:t>
      </w:r>
    </w:p>
    <w:p w14:paraId="39BBFB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法定代表人：李建红</w:t>
      </w:r>
    </w:p>
    <w:p w14:paraId="7BA621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联系人：季平伟 </w:t>
      </w:r>
    </w:p>
    <w:p w14:paraId="2F51D7B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客户服务电话：95555</w:t>
      </w:r>
    </w:p>
    <w:p w14:paraId="71CE45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网址：www.cmbchina.com</w:t>
      </w:r>
    </w:p>
    <w:p w14:paraId="113DCF5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 浙商银行</w:t>
      </w:r>
    </w:p>
    <w:p w14:paraId="0B46F4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注册地址：浙江杭州市庆春路288号</w:t>
      </w:r>
    </w:p>
    <w:p w14:paraId="3C0C5A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办公地址：浙江杭州市庆春路288号</w:t>
      </w:r>
    </w:p>
    <w:p w14:paraId="40F316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法定代表人：沈仁康</w:t>
      </w:r>
    </w:p>
    <w:p w14:paraId="48A669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联系人：沈崟杰</w:t>
      </w:r>
    </w:p>
    <w:p w14:paraId="3339AD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联系电话：0571- 88261822</w:t>
      </w:r>
    </w:p>
    <w:p w14:paraId="46C373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客户服务电话：95527</w:t>
      </w:r>
    </w:p>
    <w:p w14:paraId="532682B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传真：0571-87659954</w:t>
      </w:r>
    </w:p>
    <w:p w14:paraId="077108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网址：www.czbank.com</w:t>
      </w:r>
    </w:p>
    <w:p w14:paraId="166BC9B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 中国工商银行</w:t>
      </w:r>
    </w:p>
    <w:p w14:paraId="402717A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注册地址：北京西城区复兴门内大街55号</w:t>
      </w:r>
    </w:p>
    <w:p w14:paraId="36C319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办公地址：北京西城区复兴门内大街55号</w:t>
      </w:r>
    </w:p>
    <w:p w14:paraId="75C136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法定代表人：陈四清</w:t>
      </w:r>
    </w:p>
    <w:p w14:paraId="10451D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联系人：杨菲</w:t>
      </w:r>
    </w:p>
    <w:p w14:paraId="467BF9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客户服务电话：95588</w:t>
      </w:r>
    </w:p>
    <w:p w14:paraId="1D317D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网址：www.icbc.com.cn</w:t>
      </w:r>
    </w:p>
    <w:p w14:paraId="0EAE52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 中国光大银行</w:t>
      </w:r>
    </w:p>
    <w:p w14:paraId="509A02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注册地址：北京市西城区太平桥大街25号、甲25号中国光大中心</w:t>
      </w:r>
    </w:p>
    <w:p w14:paraId="3F640D0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办公地址：北京市西城区太平桥大街25号金融街F3大厦（中国光大中心）</w:t>
      </w:r>
    </w:p>
    <w:p w14:paraId="7C5533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法定代表人：李晓鹏</w:t>
      </w:r>
    </w:p>
    <w:p w14:paraId="6B94E55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联系人：朱红</w:t>
      </w:r>
    </w:p>
    <w:p w14:paraId="4A3051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联系电话：010-63636153</w:t>
      </w:r>
    </w:p>
    <w:p w14:paraId="3AAF48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客户服务电话：95595</w:t>
      </w:r>
    </w:p>
    <w:p w14:paraId="716E51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传真：010-63639709</w:t>
      </w:r>
    </w:p>
    <w:p w14:paraId="304355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网址：www.cebbank.com</w:t>
      </w:r>
    </w:p>
    <w:p w14:paraId="2230D0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 中国建设银行</w:t>
      </w:r>
    </w:p>
    <w:p w14:paraId="45CAD8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注册地址：北京市西城区金融大街25号</w:t>
      </w:r>
    </w:p>
    <w:p w14:paraId="11CE61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办公地址：北京市西城区闹市口大街1号院1号楼</w:t>
      </w:r>
    </w:p>
    <w:p w14:paraId="358061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法定代表人：田国立</w:t>
      </w:r>
    </w:p>
    <w:p w14:paraId="193661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联系人：王未雨</w:t>
      </w:r>
    </w:p>
    <w:p w14:paraId="563CCC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客户服务电话：95533</w:t>
      </w:r>
    </w:p>
    <w:p w14:paraId="756C20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网址：www.ccb.com</w:t>
      </w:r>
    </w:p>
    <w:p w14:paraId="501C47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 中国民生银行</w:t>
      </w:r>
    </w:p>
    <w:p w14:paraId="67FB66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注册地址：北京市西城区复兴门内大街2号</w:t>
      </w:r>
    </w:p>
    <w:p w14:paraId="329088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办公地址：北京市西城区复兴门内大街2号</w:t>
      </w:r>
    </w:p>
    <w:p w14:paraId="6DC683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法定代表人：洪崎</w:t>
      </w:r>
    </w:p>
    <w:p w14:paraId="73B226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联系人：穆婷</w:t>
      </w:r>
    </w:p>
    <w:p w14:paraId="147BA1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客户服务电话：95568</w:t>
      </w:r>
    </w:p>
    <w:p w14:paraId="65E774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网址：www.cmbc.com.cn</w:t>
      </w:r>
    </w:p>
    <w:p w14:paraId="7B7D17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 中国农业银行</w:t>
      </w:r>
    </w:p>
    <w:p w14:paraId="08F9FD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注册地址：北京市东城区建国门内大街69号</w:t>
      </w:r>
    </w:p>
    <w:p w14:paraId="7983FB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办公地址：北京市东城区建国门内大街69号</w:t>
      </w:r>
    </w:p>
    <w:p w14:paraId="575DF5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法定代表人：周慕冰</w:t>
      </w:r>
    </w:p>
    <w:p w14:paraId="4A8DE6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联系人：李紫钰</w:t>
      </w:r>
    </w:p>
    <w:p w14:paraId="40C46E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客户服务电话：95599</w:t>
      </w:r>
    </w:p>
    <w:p w14:paraId="4AC9F4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传真：010-85109219</w:t>
      </w:r>
    </w:p>
    <w:p w14:paraId="40B84D4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网址：www.abchina.com</w:t>
      </w:r>
    </w:p>
    <w:p w14:paraId="79792D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 中国邮政储蓄银行</w:t>
      </w:r>
    </w:p>
    <w:p w14:paraId="38DEF4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注册地址：北京市西城区金融大街3号</w:t>
      </w:r>
    </w:p>
    <w:p w14:paraId="5C4C3E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办公地址：北京市西城区金融大街3号</w:t>
      </w:r>
    </w:p>
    <w:p w14:paraId="7406576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法定代表人：张金良</w:t>
      </w:r>
    </w:p>
    <w:p w14:paraId="325470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联系人：王硕</w:t>
      </w:r>
    </w:p>
    <w:p w14:paraId="6C5C58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客户服务电话：95580</w:t>
      </w:r>
    </w:p>
    <w:p w14:paraId="2DB836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传真：010-68858057</w:t>
      </w:r>
    </w:p>
    <w:p w14:paraId="0F1145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网址：www.psbc.com</w:t>
      </w:r>
    </w:p>
    <w:p w14:paraId="24965D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 包商银行</w:t>
      </w:r>
    </w:p>
    <w:p w14:paraId="378744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注册地址：内蒙古自治区包头市青山区钢铁大街6号</w:t>
      </w:r>
    </w:p>
    <w:p w14:paraId="5B6AD5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办公地址：内蒙古自治区包头市青山区钢铁大街6号</w:t>
      </w:r>
    </w:p>
    <w:p w14:paraId="2C9977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法定代表人：李镇西</w:t>
      </w:r>
    </w:p>
    <w:p w14:paraId="1689B1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联系人：张晶</w:t>
      </w:r>
    </w:p>
    <w:p w14:paraId="3B6F4D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联系电话：0472-5189165</w:t>
      </w:r>
    </w:p>
    <w:p w14:paraId="380921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客户服务电话：95352</w:t>
      </w:r>
    </w:p>
    <w:p w14:paraId="516429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传真：010-84596546</w:t>
      </w:r>
    </w:p>
    <w:p w14:paraId="0AA8FD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网址：www.bsb.com.cn</w:t>
      </w:r>
    </w:p>
    <w:p w14:paraId="0FFFDB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 北京农商银行</w:t>
      </w:r>
    </w:p>
    <w:p w14:paraId="65955F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注册地址：北京市西城区月坛南街1号院2号楼</w:t>
      </w:r>
    </w:p>
    <w:p w14:paraId="2E76BD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办公地址：北京市西城区月坛南街1号院2号楼</w:t>
      </w:r>
    </w:p>
    <w:p w14:paraId="1C4199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法定代表人：王金山</w:t>
      </w:r>
    </w:p>
    <w:p w14:paraId="1BA555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联系人：鲁娟</w:t>
      </w:r>
    </w:p>
    <w:p w14:paraId="30CD41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联系电话：010-89198762</w:t>
      </w:r>
    </w:p>
    <w:p w14:paraId="4D5981D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客户服务电话：96198（北京）、400-66-96198（全国）</w:t>
      </w:r>
    </w:p>
    <w:p w14:paraId="7DD6DB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网址：www.bjrcb.com</w:t>
      </w:r>
    </w:p>
    <w:p w14:paraId="36C24C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 长安银行</w:t>
      </w:r>
    </w:p>
    <w:p w14:paraId="56F62C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注册地址：西安市高新技术产业开发区高新四路13号1幢1单元10101室</w:t>
      </w:r>
    </w:p>
    <w:p w14:paraId="3D1A92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办公地址：西安市高新技术产业开发区高新四路13号朗臣大厦</w:t>
      </w:r>
    </w:p>
    <w:p w14:paraId="3F8251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法定代表人：赵永军</w:t>
      </w:r>
    </w:p>
    <w:p w14:paraId="058913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联系人：闫石</w:t>
      </w:r>
    </w:p>
    <w:p w14:paraId="76CDEE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客户服务电话：400-05-96669；（029）96669</w:t>
      </w:r>
    </w:p>
    <w:p w14:paraId="5536D2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传真：029-88609566</w:t>
      </w:r>
    </w:p>
    <w:p w14:paraId="333ADF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网址：http://www.ccabchina.com/</w:t>
      </w:r>
    </w:p>
    <w:p w14:paraId="74AD49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 大连银行</w:t>
      </w:r>
    </w:p>
    <w:p w14:paraId="36E8F15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注册地址：大连市中山区中山路88号</w:t>
      </w:r>
    </w:p>
    <w:p w14:paraId="217F619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办公地址：大连市中山区中山路88号</w:t>
      </w:r>
    </w:p>
    <w:p w14:paraId="2ED070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法定代表人：崔磊</w:t>
      </w:r>
    </w:p>
    <w:p w14:paraId="0D801A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联系人：朱珠</w:t>
      </w:r>
    </w:p>
    <w:p w14:paraId="067375A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联系电话：0411-82356695</w:t>
      </w:r>
    </w:p>
    <w:p w14:paraId="167666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客户服务电话：400-664-0099</w:t>
      </w:r>
    </w:p>
    <w:p w14:paraId="574F07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网址：www.bankofdl.com</w:t>
      </w:r>
    </w:p>
    <w:p w14:paraId="0DCF04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 德州银行</w:t>
      </w:r>
    </w:p>
    <w:p w14:paraId="59F7D5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注册地址：山东省德州市三八东路1266号</w:t>
      </w:r>
    </w:p>
    <w:p w14:paraId="13D8F0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办公地址：山东省德州市三八东路1266号</w:t>
      </w:r>
    </w:p>
    <w:p w14:paraId="0481C6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法定代表人：董合平</w:t>
      </w:r>
    </w:p>
    <w:p w14:paraId="019DC86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联系人：王方震</w:t>
      </w:r>
    </w:p>
    <w:p w14:paraId="1D1D05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电话：0534-2297326</w:t>
      </w:r>
    </w:p>
    <w:p w14:paraId="7D55FA6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客户服务电话：40084-96588</w:t>
      </w:r>
    </w:p>
    <w:p w14:paraId="66748D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网址：www.dzbchina.com</w:t>
      </w:r>
    </w:p>
    <w:p w14:paraId="2075EE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 东莞农村商业银行</w:t>
      </w:r>
    </w:p>
    <w:p w14:paraId="67552F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注册地址：广东省东莞市东城区鸿福东路2号</w:t>
      </w:r>
    </w:p>
    <w:p w14:paraId="4A0407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办公地址：广东省东莞市东城区鸿福东路2号东莞农商银行大厦</w:t>
      </w:r>
    </w:p>
    <w:p w14:paraId="1793DB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法定代表人：王耀球</w:t>
      </w:r>
    </w:p>
    <w:p w14:paraId="1E69151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联系人：洪晓琳</w:t>
      </w:r>
    </w:p>
    <w:p w14:paraId="405B3F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客户服务电话：0769-961122</w:t>
      </w:r>
    </w:p>
    <w:p w14:paraId="07A17A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网址：www.drcbank.com</w:t>
      </w:r>
    </w:p>
    <w:p w14:paraId="58ED48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 东莞银行</w:t>
      </w:r>
    </w:p>
    <w:p w14:paraId="22153C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注册地址：东莞市莞城区体育路21号</w:t>
      </w:r>
    </w:p>
    <w:p w14:paraId="23BBA5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办公地址：东莞市莞城区体育路21号东莞银行大厦</w:t>
      </w:r>
    </w:p>
    <w:p w14:paraId="70B77E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法定代表人：卢国锋</w:t>
      </w:r>
    </w:p>
    <w:p w14:paraId="4A7BBB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联系人：朱杰霞</w:t>
      </w:r>
    </w:p>
    <w:p w14:paraId="07E36B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联系电话：0769-22865177</w:t>
      </w:r>
    </w:p>
    <w:p w14:paraId="3A8CA4A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客户服务电话：96228（广东省内）、40011-96228（全国）</w:t>
      </w:r>
    </w:p>
    <w:p w14:paraId="4096A4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网址：www.dongguanbank.cn</w:t>
      </w:r>
    </w:p>
    <w:p w14:paraId="6E3424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22) 佛山农商银行</w:t>
      </w:r>
    </w:p>
    <w:p w14:paraId="615989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注册地址：佛山市禅城区华远东路5号</w:t>
      </w:r>
    </w:p>
    <w:p w14:paraId="42F369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办公地址：佛山市禅城区华远东路5号</w:t>
      </w:r>
    </w:p>
    <w:p w14:paraId="0F118A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法定代表人：李川</w:t>
      </w:r>
    </w:p>
    <w:p w14:paraId="2EEB45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联系人：谭伟湛</w:t>
      </w:r>
    </w:p>
    <w:p w14:paraId="12D94B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客户服务电话：96138</w:t>
      </w:r>
    </w:p>
    <w:p w14:paraId="3542CB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网址：www.foshanbank.cn</w:t>
      </w:r>
    </w:p>
    <w:p w14:paraId="5E81A4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23) 福建海峡银行</w:t>
      </w:r>
    </w:p>
    <w:p w14:paraId="2E9769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注册地址：福建省福州市台江区江滨中大道358号海峡银行大厦</w:t>
      </w:r>
    </w:p>
    <w:p w14:paraId="01B80A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办公地址：福建省福州市台江区江滨中大道358号福建海峡银行8楼</w:t>
      </w:r>
    </w:p>
    <w:p w14:paraId="0C6497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法定代表人：俞敏</w:t>
      </w:r>
    </w:p>
    <w:p w14:paraId="0A1189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联系人：黄钰雯</w:t>
      </w:r>
    </w:p>
    <w:p w14:paraId="5DC8D2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联系电话：0591-87332762</w:t>
      </w:r>
    </w:p>
    <w:p w14:paraId="7C3E05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客户服务电话：400-893-9999</w:t>
      </w:r>
    </w:p>
    <w:p w14:paraId="726EB1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传真：0591-87330926</w:t>
      </w:r>
    </w:p>
    <w:p w14:paraId="1B91AC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网址：www.fjhxbank.com</w:t>
      </w:r>
    </w:p>
    <w:p w14:paraId="3EA2E1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24) 富滇银行</w:t>
      </w:r>
    </w:p>
    <w:p w14:paraId="09B68A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注册地址：云南省昆明市拓东路41号</w:t>
      </w:r>
    </w:p>
    <w:p w14:paraId="3AEA10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办公地址：云南省昆明市拓东路41号</w:t>
      </w:r>
    </w:p>
    <w:p w14:paraId="408DBD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法定代表人：洪维智</w:t>
      </w:r>
    </w:p>
    <w:p w14:paraId="18A4C6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联系人：杨翊琳</w:t>
      </w:r>
    </w:p>
    <w:p w14:paraId="046AD8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电话：0871-63140324</w:t>
      </w:r>
    </w:p>
    <w:p w14:paraId="11F6D0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客户服务电话：400-88-96533</w:t>
      </w:r>
    </w:p>
    <w:p w14:paraId="44B592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传真：0871-63194471</w:t>
      </w:r>
    </w:p>
    <w:p w14:paraId="04D286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网址：http://www.fudian-bank.com/</w:t>
      </w:r>
    </w:p>
    <w:p w14:paraId="1B793F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25) 广东华兴银行</w:t>
      </w:r>
    </w:p>
    <w:p w14:paraId="158047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注册地址：广东省汕头市龙湖区黄山路28号四层</w:t>
      </w:r>
    </w:p>
    <w:p w14:paraId="7553F59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办公地址：广州市天河区天河路533号</w:t>
      </w:r>
    </w:p>
    <w:p w14:paraId="310249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法定代表人：周泽荣</w:t>
      </w:r>
    </w:p>
    <w:p w14:paraId="3FC88A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联系人：许悦</w:t>
      </w:r>
    </w:p>
    <w:p w14:paraId="0B6DCD4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联系电话：020-38173552</w:t>
      </w:r>
    </w:p>
    <w:p w14:paraId="0E686C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客户服务电话：4008308001</w:t>
      </w:r>
    </w:p>
    <w:p w14:paraId="572164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传真：020-38173857</w:t>
      </w:r>
    </w:p>
    <w:p w14:paraId="3718B5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网址：www.ghbank.com.cn</w:t>
      </w:r>
    </w:p>
    <w:p w14:paraId="49EE27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26) 广东南粤银行</w:t>
      </w:r>
    </w:p>
    <w:p w14:paraId="5074E00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注册地址：广东省湛江市经济技术开发区乐山大道60号</w:t>
      </w:r>
    </w:p>
    <w:p w14:paraId="2EC25D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办公地址：广东省湛江市经济技术开发区乐山大道60号</w:t>
      </w:r>
    </w:p>
    <w:p w14:paraId="717BA1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法定代表人：蒋丹</w:t>
      </w:r>
    </w:p>
    <w:p w14:paraId="2EFD84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联系人：陈静</w:t>
      </w:r>
    </w:p>
    <w:p w14:paraId="4EC4E4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联系电话：020-28308757</w:t>
      </w:r>
    </w:p>
    <w:p w14:paraId="727747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客户服务电话：4000-961818</w:t>
      </w:r>
    </w:p>
    <w:p w14:paraId="64EC7D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网址：www.gdnybank.com</w:t>
      </w:r>
    </w:p>
    <w:p w14:paraId="5FA9E7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27) 广州农商银行</w:t>
      </w:r>
    </w:p>
    <w:p w14:paraId="14124B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注册地址：广州市黄埔区映日路9号</w:t>
      </w:r>
    </w:p>
    <w:p w14:paraId="1CEEC1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办公地址：广州市天河区珠江新城华夏路1号</w:t>
      </w:r>
    </w:p>
    <w:p w14:paraId="0E7ABE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法定代表人：王继康</w:t>
      </w:r>
    </w:p>
    <w:p w14:paraId="15F5B2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联系人：刘强</w:t>
      </w:r>
    </w:p>
    <w:p w14:paraId="0DC553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联系电话：020-22389067</w:t>
      </w:r>
    </w:p>
    <w:p w14:paraId="662B57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客户服务电话：95313</w:t>
      </w:r>
    </w:p>
    <w:p w14:paraId="27C2E6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传真：020-22389031</w:t>
      </w:r>
    </w:p>
    <w:p w14:paraId="7B1819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网址：www.grcbank.com</w:t>
      </w:r>
    </w:p>
    <w:p w14:paraId="668B5C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28) 贵阳银行</w:t>
      </w:r>
    </w:p>
    <w:p w14:paraId="0B608D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注册地址：贵州省贵阳市中华北路77号</w:t>
      </w:r>
    </w:p>
    <w:p w14:paraId="122FA20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办公地址：贵州省贵阳市中华北路77号</w:t>
      </w:r>
    </w:p>
    <w:p w14:paraId="486847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法定代表人：陈宗权</w:t>
      </w:r>
    </w:p>
    <w:p w14:paraId="6388183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联系人：何西</w:t>
      </w:r>
    </w:p>
    <w:p w14:paraId="771652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电话：0851-86858673</w:t>
      </w:r>
    </w:p>
    <w:p w14:paraId="2E731A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客户服务电话：40011-96033</w:t>
      </w:r>
    </w:p>
    <w:p w14:paraId="10DBCB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传真：0851-86858673</w:t>
      </w:r>
    </w:p>
    <w:p w14:paraId="5B25BC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网址：http://www.96033.cn</w:t>
      </w:r>
    </w:p>
    <w:p w14:paraId="51CBDB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29) 哈尔滨银行</w:t>
      </w:r>
    </w:p>
    <w:p w14:paraId="14C10B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注册地址：哈尔滨市道里区尚志大街160号</w:t>
      </w:r>
    </w:p>
    <w:p w14:paraId="4CDAB0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办公地址：哈尔滨市道里区上江街888号</w:t>
      </w:r>
    </w:p>
    <w:p w14:paraId="7CB14B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法定代表人：郭志文</w:t>
      </w:r>
    </w:p>
    <w:p w14:paraId="38983E6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联系人：何岩岩</w:t>
      </w:r>
    </w:p>
    <w:p w14:paraId="439F07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电话：0451-87792450</w:t>
      </w:r>
    </w:p>
    <w:p w14:paraId="46E248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客户服务电话：95537</w:t>
      </w:r>
    </w:p>
    <w:p w14:paraId="71F794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传真：0451-87792682</w:t>
      </w:r>
    </w:p>
    <w:p w14:paraId="41FA8F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网址：www.hrbb.com.cn</w:t>
      </w:r>
    </w:p>
    <w:p w14:paraId="4452AB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30) 杭州联合银行</w:t>
      </w:r>
    </w:p>
    <w:p w14:paraId="3277050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注册地址：浙江省杭州市上城区建国中路99号</w:t>
      </w:r>
    </w:p>
    <w:p w14:paraId="1B09AC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办公地址：杭州市建国中路99号</w:t>
      </w:r>
    </w:p>
    <w:p w14:paraId="5D3314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法定代表人：张海林</w:t>
      </w:r>
    </w:p>
    <w:p w14:paraId="0BB420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联系人：胡莹</w:t>
      </w:r>
    </w:p>
    <w:p w14:paraId="185D186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联系电话：0571-87923324</w:t>
      </w:r>
    </w:p>
    <w:p w14:paraId="467CD1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客户服务电话：96596</w:t>
      </w:r>
    </w:p>
    <w:p w14:paraId="3D895E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传真：0571-87923214</w:t>
      </w:r>
    </w:p>
    <w:p w14:paraId="59F80A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网址：www.urcb.com</w:t>
      </w:r>
    </w:p>
    <w:p w14:paraId="1BB7FC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31) 杭州银行</w:t>
      </w:r>
    </w:p>
    <w:p w14:paraId="7C65AF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注册地址：杭州市下城区庆春路46号</w:t>
      </w:r>
    </w:p>
    <w:p w14:paraId="63FD1C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办公地址：杭州市下城区庆春路46号杭州银行大厦</w:t>
      </w:r>
    </w:p>
    <w:p w14:paraId="0028D6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法定代表人：陈震山</w:t>
      </w:r>
    </w:p>
    <w:p w14:paraId="39ABF3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联系人：陈振峰</w:t>
      </w:r>
    </w:p>
    <w:p w14:paraId="149FC5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联系电话：0571-85872972</w:t>
      </w:r>
    </w:p>
    <w:p w14:paraId="507152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客户服务电话：95398</w:t>
      </w:r>
    </w:p>
    <w:p w14:paraId="268541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传真：0571-85106576</w:t>
      </w:r>
    </w:p>
    <w:p w14:paraId="61233B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网址：www.hzbank.com.cn</w:t>
      </w:r>
    </w:p>
    <w:p w14:paraId="1FC01E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32) 河北银行</w:t>
      </w:r>
    </w:p>
    <w:p w14:paraId="28615E1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注册地址：石家庄市平安北大街28号</w:t>
      </w:r>
    </w:p>
    <w:p w14:paraId="3A647C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办公地址：石家庄市平安北大街28号</w:t>
      </w:r>
    </w:p>
    <w:p w14:paraId="3C0E6D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法定代表人：乔志强</w:t>
      </w:r>
    </w:p>
    <w:p w14:paraId="109D03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联系人：王丽辉</w:t>
      </w:r>
    </w:p>
    <w:p w14:paraId="7295979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联系电话：0311-67807030</w:t>
      </w:r>
    </w:p>
    <w:p w14:paraId="6FE643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客户服务电话：400-612-9999</w:t>
      </w:r>
    </w:p>
    <w:p w14:paraId="6FBEC4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传真：0311-67806407</w:t>
      </w:r>
    </w:p>
    <w:p w14:paraId="048BD4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网址：www.hebbank.com</w:t>
      </w:r>
    </w:p>
    <w:p w14:paraId="035D45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33) 华融湘江银行</w:t>
      </w:r>
    </w:p>
    <w:p w14:paraId="2C4F68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注册地址：长沙市天心区芙蓉南路一段828号杰座大厦</w:t>
      </w:r>
    </w:p>
    <w:p w14:paraId="7D78A3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办公地址：湖南省长沙市湘府东路二段208号万境财智中心南栋</w:t>
      </w:r>
    </w:p>
    <w:p w14:paraId="18165B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法定代表人：张永宏</w:t>
      </w:r>
    </w:p>
    <w:p w14:paraId="2CC751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联系人：曾玉姣</w:t>
      </w:r>
    </w:p>
    <w:p w14:paraId="758377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联系电话：0731-89828592</w:t>
      </w:r>
    </w:p>
    <w:p w14:paraId="4F82F5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客户服务电话：0731-96599</w:t>
      </w:r>
    </w:p>
    <w:p w14:paraId="6E0C01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传真：0731-89828806</w:t>
      </w:r>
    </w:p>
    <w:p w14:paraId="5DA70E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网址：www.hrxjbank.com.cn</w:t>
      </w:r>
    </w:p>
    <w:p w14:paraId="6CF260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34) 吉林银行</w:t>
      </w:r>
    </w:p>
    <w:p w14:paraId="296325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注册地址：吉林省长春市经济技术开发区东南湖大路1817号</w:t>
      </w:r>
    </w:p>
    <w:p w14:paraId="5BA49C5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办公地址：吉林省长春市经济技术开发区东南湖大路1817号</w:t>
      </w:r>
    </w:p>
    <w:p w14:paraId="550DA0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法定代表人：张宝祥</w:t>
      </w:r>
    </w:p>
    <w:p w14:paraId="06C797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联系人：孙琦</w:t>
      </w:r>
    </w:p>
    <w:p w14:paraId="31F99A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联系电话：0431-84999627</w:t>
      </w:r>
    </w:p>
    <w:p w14:paraId="4FA8C1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客户服务电话：400-88-96666</w:t>
      </w:r>
    </w:p>
    <w:p w14:paraId="18100F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传真：0431-84992649</w:t>
      </w:r>
    </w:p>
    <w:p w14:paraId="3B31F9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网址：www.jlbank.com.cn</w:t>
      </w:r>
    </w:p>
    <w:p w14:paraId="0734FD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35) 嘉兴银行</w:t>
      </w:r>
    </w:p>
    <w:p w14:paraId="16E250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注册地址：浙江省嘉兴市昌盛南路1001号</w:t>
      </w:r>
    </w:p>
    <w:p w14:paraId="032EFA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办公地址：浙江省嘉兴市昌盛南路1001号</w:t>
      </w:r>
    </w:p>
    <w:p w14:paraId="3C52B5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法定代表人：夏林生</w:t>
      </w:r>
    </w:p>
    <w:p w14:paraId="4C0431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联系人：余舟</w:t>
      </w:r>
    </w:p>
    <w:p w14:paraId="57FE7D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联系电话：0573-82080201</w:t>
      </w:r>
    </w:p>
    <w:p w14:paraId="592CA8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客户服务电话：0573-96528</w:t>
      </w:r>
    </w:p>
    <w:p w14:paraId="213B4D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网址：http://www.bojx.com</w:t>
      </w:r>
    </w:p>
    <w:p w14:paraId="7B10CC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36) 江南农村商业银行</w:t>
      </w:r>
    </w:p>
    <w:p w14:paraId="4E70E3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注册地址：常州市和平中路413号</w:t>
      </w:r>
    </w:p>
    <w:p w14:paraId="5BC4D7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办公地址：常州市和平中路413号</w:t>
      </w:r>
    </w:p>
    <w:p w14:paraId="298F03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法定代表人：陆向阳</w:t>
      </w:r>
    </w:p>
    <w:p w14:paraId="6E8C3B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联系人：李仙</w:t>
      </w:r>
    </w:p>
    <w:p w14:paraId="14CF52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电话：0519-80585939</w:t>
      </w:r>
    </w:p>
    <w:p w14:paraId="70A59CE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客户服务电话：0519-96005</w:t>
      </w:r>
    </w:p>
    <w:p w14:paraId="1C8078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传真：0519-89995170</w:t>
      </w:r>
    </w:p>
    <w:p w14:paraId="07A8E2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网址：http://www.jnbank.com.cn</w:t>
      </w:r>
    </w:p>
    <w:p w14:paraId="74FE19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37) 江苏银行</w:t>
      </w:r>
    </w:p>
    <w:p w14:paraId="531EB3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注册地址：南京市中华路26号</w:t>
      </w:r>
    </w:p>
    <w:p w14:paraId="5BDF35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办公地址：南京市中华路26号</w:t>
      </w:r>
    </w:p>
    <w:p w14:paraId="1D22F0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法定代表人：夏平</w:t>
      </w:r>
    </w:p>
    <w:p w14:paraId="6075F5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联系人：张洪玮</w:t>
      </w:r>
    </w:p>
    <w:p w14:paraId="285B05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联系电话：025-58587036</w:t>
      </w:r>
    </w:p>
    <w:p w14:paraId="46E499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客户服务电话：95319</w:t>
      </w:r>
    </w:p>
    <w:p w14:paraId="4AED20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传真：025-58587820</w:t>
      </w:r>
    </w:p>
    <w:p w14:paraId="060465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网址：www.jsbchina.cn</w:t>
      </w:r>
    </w:p>
    <w:p w14:paraId="71B6D6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38) 江西银行</w:t>
      </w:r>
    </w:p>
    <w:p w14:paraId="0E54FD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注册地址：江西省南昌市红谷滩新区金融大街699号</w:t>
      </w:r>
    </w:p>
    <w:p w14:paraId="6D9608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办公地址：江西省南昌市红谷滩新区金融大街699号</w:t>
      </w:r>
    </w:p>
    <w:p w14:paraId="2FD131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法定代表人：陈晓明</w:t>
      </w:r>
    </w:p>
    <w:p w14:paraId="0762FA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联系人：陈云波</w:t>
      </w:r>
    </w:p>
    <w:p w14:paraId="7B3FEF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联系电话：0791-86796029</w:t>
      </w:r>
    </w:p>
    <w:p w14:paraId="5EC725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客户服务电话：956055</w:t>
      </w:r>
    </w:p>
    <w:p w14:paraId="18F69A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传真：0791-86790795</w:t>
      </w:r>
    </w:p>
    <w:p w14:paraId="479057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网址：www.jx-bank.com</w:t>
      </w:r>
    </w:p>
    <w:p w14:paraId="076AE0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39) 金华银行</w:t>
      </w:r>
    </w:p>
    <w:p w14:paraId="2A410B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注册地址：浙江省金华市丹溪路1388号</w:t>
      </w:r>
    </w:p>
    <w:p w14:paraId="1C7338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办公地址：浙江省金华市金东区光南路668号</w:t>
      </w:r>
    </w:p>
    <w:p w14:paraId="0B57B3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法定代表人：徐雅清</w:t>
      </w:r>
    </w:p>
    <w:p w14:paraId="3E8256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联系人：何赛丽、陈霞</w:t>
      </w:r>
    </w:p>
    <w:p w14:paraId="292A8A8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联系电话：0579-82178270</w:t>
      </w:r>
    </w:p>
    <w:p w14:paraId="60123EC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客户服务电话：400-711-6668</w:t>
      </w:r>
    </w:p>
    <w:p w14:paraId="36FF46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传真：0579-82178321</w:t>
      </w:r>
    </w:p>
    <w:p w14:paraId="7A3851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网址：www.jhccb.com.cn</w:t>
      </w:r>
    </w:p>
    <w:p w14:paraId="5D9148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40) 锦州银行</w:t>
      </w:r>
    </w:p>
    <w:p w14:paraId="298A0C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注册地址：辽宁省锦州市科技路68号</w:t>
      </w:r>
    </w:p>
    <w:p w14:paraId="301FF8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办公地址：辽宁省锦州市科技路68号</w:t>
      </w:r>
    </w:p>
    <w:p w14:paraId="558B78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法定代表人：张伟</w:t>
      </w:r>
    </w:p>
    <w:p w14:paraId="628B178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联系人：庞璐璐</w:t>
      </w:r>
    </w:p>
    <w:p w14:paraId="0D122B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客户服务电话：400-66-96178</w:t>
      </w:r>
    </w:p>
    <w:p w14:paraId="0D11F9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网址：www.jinzhoubank.com</w:t>
      </w:r>
    </w:p>
    <w:p w14:paraId="05935B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41) 乐清农商银行</w:t>
      </w:r>
    </w:p>
    <w:p w14:paraId="012901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注册地址：浙江省乐清市城南街道伯乐西路99号</w:t>
      </w:r>
    </w:p>
    <w:p w14:paraId="1D22F6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办公地址：浙江省乐清市城南街道伯乐西路99号</w:t>
      </w:r>
    </w:p>
    <w:p w14:paraId="614C1A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法定代表人：高剑飞</w:t>
      </w:r>
    </w:p>
    <w:p w14:paraId="3FB2135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联系人：金晓娇</w:t>
      </w:r>
    </w:p>
    <w:p w14:paraId="2D9C97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联系电话：0577-61566028</w:t>
      </w:r>
    </w:p>
    <w:p w14:paraId="6B6F80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客户服务电话：4008896596</w:t>
      </w:r>
    </w:p>
    <w:p w14:paraId="2FB0CE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传真：0577-61566063</w:t>
      </w:r>
    </w:p>
    <w:p w14:paraId="2CF386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网址：www.yqbank.com</w:t>
      </w:r>
    </w:p>
    <w:p w14:paraId="1573F7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42) 龙江银行</w:t>
      </w:r>
    </w:p>
    <w:p w14:paraId="1CFC76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注册地址：黑龙江省哈尔滨市道里区友谊路436号</w:t>
      </w:r>
    </w:p>
    <w:p w14:paraId="1C6864E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办公地址：黑龙江省哈尔滨市道里区友谊路436号</w:t>
      </w:r>
    </w:p>
    <w:p w14:paraId="6BF3FE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法定代表人：张建辉</w:t>
      </w:r>
    </w:p>
    <w:p w14:paraId="0A7F4B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联系人：闫勇</w:t>
      </w:r>
    </w:p>
    <w:p w14:paraId="507507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联系电话：0451-85706107</w:t>
      </w:r>
    </w:p>
    <w:p w14:paraId="34C090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客户服务电话：400-645-8888</w:t>
      </w:r>
    </w:p>
    <w:p w14:paraId="5A619CC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传真：0451-85706036</w:t>
      </w:r>
    </w:p>
    <w:p w14:paraId="6DC868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网址：http://www.lj-bank.com</w:t>
      </w:r>
    </w:p>
    <w:p w14:paraId="3C59A5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43) 龙湾农商银行</w:t>
      </w:r>
    </w:p>
    <w:p w14:paraId="56409B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注册地址：浙江省温州市龙湾区永中街道永宁西路555号</w:t>
      </w:r>
    </w:p>
    <w:p w14:paraId="07AA60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办公地址：浙江省温州市龙湾区永中街道永宁西路555号</w:t>
      </w:r>
    </w:p>
    <w:p w14:paraId="2E36E9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法定代表人：刘少云</w:t>
      </w:r>
    </w:p>
    <w:p w14:paraId="0BA58B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联系人：胡俊杰</w:t>
      </w:r>
    </w:p>
    <w:p w14:paraId="68E0FC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联系电话：0577-86923223</w:t>
      </w:r>
    </w:p>
    <w:p w14:paraId="1A41BD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客户服务电话：4008296596</w:t>
      </w:r>
    </w:p>
    <w:p w14:paraId="670C6C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传真：0577-86921250</w:t>
      </w:r>
    </w:p>
    <w:p w14:paraId="629B8D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网址：www.lwrcb.com</w:t>
      </w:r>
    </w:p>
    <w:p w14:paraId="048B0E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44) 鹿城农商银行</w:t>
      </w:r>
    </w:p>
    <w:p w14:paraId="65C7F0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注册地址：浙江省温州市鹿城区会展路1500号富银大厦</w:t>
      </w:r>
    </w:p>
    <w:p w14:paraId="426592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办公地址：温州市车站大道547号信合大厦A幢</w:t>
      </w:r>
    </w:p>
    <w:p w14:paraId="4DB4A9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法定代表人：陈宏强</w:t>
      </w:r>
    </w:p>
    <w:p w14:paraId="26E9CB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联系人：董雷</w:t>
      </w:r>
    </w:p>
    <w:p w14:paraId="723DBF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联系电话：0577-88077675</w:t>
      </w:r>
    </w:p>
    <w:p w14:paraId="45F363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客户服务电话：96526</w:t>
      </w:r>
    </w:p>
    <w:p w14:paraId="25318B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网址：http://www.lcrcbank.com/</w:t>
      </w:r>
    </w:p>
    <w:p w14:paraId="78D481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45) 洛阳银行</w:t>
      </w:r>
    </w:p>
    <w:p w14:paraId="0B8304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注册地址：洛阳市洛阳新区开元大道与通济街交叉口</w:t>
      </w:r>
    </w:p>
    <w:p w14:paraId="3C5693B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办公地址：河南省洛阳市开元大道256号</w:t>
      </w:r>
    </w:p>
    <w:p w14:paraId="606EE3B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法定代表人：王建甫</w:t>
      </w:r>
    </w:p>
    <w:p w14:paraId="1923FC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联系人：郭文博</w:t>
      </w:r>
    </w:p>
    <w:p w14:paraId="14A0DD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联系电话：0379-65921977</w:t>
      </w:r>
    </w:p>
    <w:p w14:paraId="7A55A6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客户服务电话：0379-96699</w:t>
      </w:r>
    </w:p>
    <w:p w14:paraId="42D83E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传真：0379-65938595</w:t>
      </w:r>
    </w:p>
    <w:p w14:paraId="7CDE6B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网址：www.bankofluoyang.com.cn/</w:t>
      </w:r>
    </w:p>
    <w:p w14:paraId="7BCD14E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46) 南海农商银行</w:t>
      </w:r>
    </w:p>
    <w:p w14:paraId="05A80B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注册地址：广东省佛山市南海区桂城街道南海大道北26号</w:t>
      </w:r>
    </w:p>
    <w:p w14:paraId="1ACD49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办公地址：广东省佛山市南海区桂城街道南海大道北26号农商银行大厦</w:t>
      </w:r>
    </w:p>
    <w:p w14:paraId="508E2D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法定代表人：李宜心</w:t>
      </w:r>
    </w:p>
    <w:p w14:paraId="797D38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联系人：廖雪</w:t>
      </w:r>
    </w:p>
    <w:p w14:paraId="53DB16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电话：0757-86266566</w:t>
      </w:r>
    </w:p>
    <w:p w14:paraId="170A2B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客户服务电话：96138</w:t>
      </w:r>
    </w:p>
    <w:p w14:paraId="7C30E5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传真：0757-86250627</w:t>
      </w:r>
    </w:p>
    <w:p w14:paraId="7ADEE8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网址：www.nanhaibank.com</w:t>
      </w:r>
    </w:p>
    <w:p w14:paraId="54904F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47) 南京银行</w:t>
      </w:r>
    </w:p>
    <w:p w14:paraId="3F3FD1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注册地址：南京市玄武区中山路288号</w:t>
      </w:r>
    </w:p>
    <w:p w14:paraId="0E6778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办公地址：南京市玄武区中山路288号</w:t>
      </w:r>
    </w:p>
    <w:p w14:paraId="327A49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法定代表人：胡升荣</w:t>
      </w:r>
    </w:p>
    <w:p w14:paraId="1851C8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联系人：李冰洁</w:t>
      </w:r>
    </w:p>
    <w:p w14:paraId="1479264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客户服务电话：95302</w:t>
      </w:r>
    </w:p>
    <w:p w14:paraId="06BDAF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网址：www.njcb.com.cn</w:t>
      </w:r>
    </w:p>
    <w:p w14:paraId="361044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48) 南洋商业银行</w:t>
      </w:r>
    </w:p>
    <w:p w14:paraId="291C966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注册地址：中国（上海）自由贸易试验区世纪大道800号三层、六层至九层（不含六层A座）</w:t>
      </w:r>
    </w:p>
    <w:p w14:paraId="48C1F0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办公地址：中国（上海）自由贸易试验区世纪大道800号三层、六层至九层（不含六层A座）</w:t>
      </w:r>
    </w:p>
    <w:p w14:paraId="532933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法定代表人：陈孝周</w:t>
      </w:r>
    </w:p>
    <w:p w14:paraId="6EB597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联系人：王晓明</w:t>
      </w:r>
    </w:p>
    <w:p w14:paraId="478189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联系电话：021-38566500</w:t>
      </w:r>
    </w:p>
    <w:p w14:paraId="4F960C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客户服务电话：8008302066、4008302066</w:t>
      </w:r>
    </w:p>
    <w:p w14:paraId="4A728F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传真：021-38566400</w:t>
      </w:r>
    </w:p>
    <w:p w14:paraId="27F2B6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网址：http://www.ncbchina.cn/cn/index.html</w:t>
      </w:r>
    </w:p>
    <w:p w14:paraId="2543E2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49) 宁波银行</w:t>
      </w:r>
    </w:p>
    <w:p w14:paraId="386533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注册地址：浙江省宁波市鄞州区宁东路345号</w:t>
      </w:r>
    </w:p>
    <w:p w14:paraId="1D84F9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办公地址：浙江省宁波市鄞州区宁东路345号</w:t>
      </w:r>
    </w:p>
    <w:p w14:paraId="115C53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法定代表人：陆华裕</w:t>
      </w:r>
    </w:p>
    <w:p w14:paraId="1DFF9B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联系人：施豪迪</w:t>
      </w:r>
    </w:p>
    <w:p w14:paraId="71F0E6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客户服务电话：95574</w:t>
      </w:r>
    </w:p>
    <w:p w14:paraId="41CAEF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网址：www.nbcb.com.cn</w:t>
      </w:r>
    </w:p>
    <w:p w14:paraId="214532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50) 齐商银行</w:t>
      </w:r>
    </w:p>
    <w:p w14:paraId="76B27D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注册地址：淄博市张店区中心路105号</w:t>
      </w:r>
    </w:p>
    <w:p w14:paraId="388B75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办公地址：山东省淄博市张店区金晶大道105号</w:t>
      </w:r>
    </w:p>
    <w:p w14:paraId="592FC5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法定代表人：杲传勇</w:t>
      </w:r>
    </w:p>
    <w:p w14:paraId="18BF29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联系人：焦浦</w:t>
      </w:r>
    </w:p>
    <w:p w14:paraId="78A07C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联系电话：0533-2178888-9907</w:t>
      </w:r>
    </w:p>
    <w:p w14:paraId="3FDB4B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客户服务电话：400-86-96588</w:t>
      </w:r>
    </w:p>
    <w:p w14:paraId="5AF584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传真：0533-2180303</w:t>
      </w:r>
    </w:p>
    <w:p w14:paraId="17EFB3B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网址：www.qsbank.cc</w:t>
      </w:r>
    </w:p>
    <w:p w14:paraId="61CE6F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51) 青岛银行</w:t>
      </w:r>
    </w:p>
    <w:p w14:paraId="479D99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注册地址：山东省青岛市崂山区秦岭路6号3号楼</w:t>
      </w:r>
    </w:p>
    <w:p w14:paraId="040C3E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办公地址：山东省青岛市崂山区秦岭路6号3号楼</w:t>
      </w:r>
    </w:p>
    <w:p w14:paraId="64BA4B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法定代表人：郭少泉</w:t>
      </w:r>
    </w:p>
    <w:p w14:paraId="59DEBB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联系人：徐伟静</w:t>
      </w:r>
    </w:p>
    <w:p w14:paraId="50D175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联系电话：0532-68629925</w:t>
      </w:r>
    </w:p>
    <w:p w14:paraId="0E84FC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客户服务电话：96588（青岛）400-66-96588（全国）</w:t>
      </w:r>
    </w:p>
    <w:p w14:paraId="1EC431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网址：http://www.qdccb.com/</w:t>
      </w:r>
    </w:p>
    <w:p w14:paraId="67BBB4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52) 青海银行</w:t>
      </w:r>
    </w:p>
    <w:p w14:paraId="270497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注册地址：青海省西宁市黄河路36号</w:t>
      </w:r>
    </w:p>
    <w:p w14:paraId="763314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办公地址：青海省西宁市黄河路36号</w:t>
      </w:r>
    </w:p>
    <w:p w14:paraId="209DF1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法定代表人：王丽</w:t>
      </w:r>
    </w:p>
    <w:p w14:paraId="664703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联系人：李万芳</w:t>
      </w:r>
    </w:p>
    <w:p w14:paraId="4D4C3E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联系电话：0971-6111792</w:t>
      </w:r>
    </w:p>
    <w:p w14:paraId="0117991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客户服务电话：0971-96399</w:t>
      </w:r>
    </w:p>
    <w:p w14:paraId="0159C7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传真：0971-6111792</w:t>
      </w:r>
    </w:p>
    <w:p w14:paraId="6C39DF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网址：www.bankqh.com</w:t>
      </w:r>
    </w:p>
    <w:p w14:paraId="0350C5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53) 泉州银行</w:t>
      </w:r>
    </w:p>
    <w:p w14:paraId="4CA555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注册地址：泉州市丰泽区云鹿路3号</w:t>
      </w:r>
    </w:p>
    <w:p w14:paraId="7DBF83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办公地址：泉州市丰泽区云鹿路3号</w:t>
      </w:r>
    </w:p>
    <w:p w14:paraId="372C10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法定代表人：傅子能</w:t>
      </w:r>
    </w:p>
    <w:p w14:paraId="308925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联系人：董培姗</w:t>
      </w:r>
    </w:p>
    <w:p w14:paraId="187638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联系电话：0595-22551071</w:t>
      </w:r>
    </w:p>
    <w:p w14:paraId="0A7004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客户服务电话：400-88-96312</w:t>
      </w:r>
    </w:p>
    <w:p w14:paraId="06676F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传真：0595-22578871</w:t>
      </w:r>
    </w:p>
    <w:p w14:paraId="493D50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网址：www.qzccbank.com</w:t>
      </w:r>
    </w:p>
    <w:p w14:paraId="50435F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54) 日照银行</w:t>
      </w:r>
    </w:p>
    <w:p w14:paraId="43B0E6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注册地址：山东省日照市烟台路197号</w:t>
      </w:r>
    </w:p>
    <w:p w14:paraId="7479AB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办公地址：山东省日照市烟台路197号</w:t>
      </w:r>
    </w:p>
    <w:p w14:paraId="7AA6BF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法定代表人：王森</w:t>
      </w:r>
    </w:p>
    <w:p w14:paraId="6A0863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联系人：孔颖</w:t>
      </w:r>
    </w:p>
    <w:p w14:paraId="5EE868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联系电话：0633-8081590</w:t>
      </w:r>
    </w:p>
    <w:p w14:paraId="150505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客户服务电话：400-68-96588（全国）、0633-96588（日照）</w:t>
      </w:r>
    </w:p>
    <w:p w14:paraId="7CC019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传真：0633-8081276</w:t>
      </w:r>
    </w:p>
    <w:p w14:paraId="70AC9D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网址：http://www.bankofrizhao.com.cn/</w:t>
      </w:r>
    </w:p>
    <w:p w14:paraId="2913F7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55) 瑞安农商银行</w:t>
      </w:r>
    </w:p>
    <w:p w14:paraId="7E1018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注册地址：瑞安市安阳街道万松东路148号</w:t>
      </w:r>
    </w:p>
    <w:p w14:paraId="4A89FD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办公地址：瑞安市安阳街道万松东路148号</w:t>
      </w:r>
    </w:p>
    <w:p w14:paraId="2AE097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法定代表人：王光领</w:t>
      </w:r>
    </w:p>
    <w:p w14:paraId="0515F2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联系人：吴清萍</w:t>
      </w:r>
    </w:p>
    <w:p w14:paraId="3602D49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联系电话：0577-66816501</w:t>
      </w:r>
    </w:p>
    <w:p w14:paraId="25A32C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客户服务电话：4008057702</w:t>
      </w:r>
    </w:p>
    <w:p w14:paraId="7FE778A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网址：https://www.rarcbank.com/</w:t>
      </w:r>
    </w:p>
    <w:p w14:paraId="6E0DD5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56) 瑞丰银行</w:t>
      </w:r>
    </w:p>
    <w:p w14:paraId="23BCAB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注册地址：浙江省绍兴市柯桥区笛扬路1363号</w:t>
      </w:r>
    </w:p>
    <w:p w14:paraId="17FA5D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办公地址：浙江省绍兴市柯桥区笛扬路1363号</w:t>
      </w:r>
    </w:p>
    <w:p w14:paraId="7AED39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法定代表人：俞俊海</w:t>
      </w:r>
    </w:p>
    <w:p w14:paraId="79CA37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联系人：孟建潮</w:t>
      </w:r>
    </w:p>
    <w:p w14:paraId="5DCB95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联系电话：0575-81105323</w:t>
      </w:r>
    </w:p>
    <w:p w14:paraId="6640B9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客户服务电话：400-88-96596</w:t>
      </w:r>
    </w:p>
    <w:p w14:paraId="5C0898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传真：0575-84788134</w:t>
      </w:r>
    </w:p>
    <w:p w14:paraId="50BF9F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网址：www.borf.cn</w:t>
      </w:r>
    </w:p>
    <w:p w14:paraId="624A15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57) 上海农村商业银行</w:t>
      </w:r>
    </w:p>
    <w:p w14:paraId="4F1F2A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注册地址：上海市黄浦区中山东二路70号</w:t>
      </w:r>
    </w:p>
    <w:p w14:paraId="79B8A9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办公地址：上海市黄浦区中山东二路70号上海农商银行大厦 </w:t>
      </w:r>
    </w:p>
    <w:p w14:paraId="3C4E36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法定代表人：徐力</w:t>
      </w:r>
    </w:p>
    <w:p w14:paraId="1F8825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联系人：施传荣</w:t>
      </w:r>
    </w:p>
    <w:p w14:paraId="451AA8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联系电话：021-61899999</w:t>
      </w:r>
    </w:p>
    <w:p w14:paraId="2AC309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客户服务电话：021-962999、4006962999</w:t>
      </w:r>
    </w:p>
    <w:p w14:paraId="17588F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开放式基金业务传真：021-50105124</w:t>
      </w:r>
    </w:p>
    <w:p w14:paraId="3B7DF3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网址：www.srcb.com</w:t>
      </w:r>
    </w:p>
    <w:p w14:paraId="69F766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58) 上海银行</w:t>
      </w:r>
    </w:p>
    <w:p w14:paraId="53229E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注册地址：中国（上海）自由贸易试验区银城中路168号</w:t>
      </w:r>
    </w:p>
    <w:p w14:paraId="7238A1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办公地址：上海市浦东新区银城中路168号</w:t>
      </w:r>
    </w:p>
    <w:p w14:paraId="018D01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法定代表人：金煜</w:t>
      </w:r>
    </w:p>
    <w:p w14:paraId="19910B8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联系人：王笑</w:t>
      </w:r>
    </w:p>
    <w:p w14:paraId="6C7395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联系电话：021-68475732</w:t>
      </w:r>
    </w:p>
    <w:p w14:paraId="294B9B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客户服务电话：95594</w:t>
      </w:r>
    </w:p>
    <w:p w14:paraId="549FED6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网址：http://www.bosc.cn/</w:t>
      </w:r>
    </w:p>
    <w:p w14:paraId="166258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59) 顺德农村商业银行</w:t>
      </w:r>
    </w:p>
    <w:p w14:paraId="55DDFAE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注册地址：佛山市顺德区大良德和居委会拥翠路2号</w:t>
      </w:r>
    </w:p>
    <w:p w14:paraId="3FEE9A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办公地址：佛山市顺德区大良德和居委会拥翠路2号</w:t>
      </w:r>
    </w:p>
    <w:p w14:paraId="3FBB36D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法定代表人：姚真勇</w:t>
      </w:r>
    </w:p>
    <w:p w14:paraId="0C34AD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联系人：陈素莹、区敏欣</w:t>
      </w:r>
    </w:p>
    <w:p w14:paraId="5BE853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联系电话：0757-22385879</w:t>
      </w:r>
    </w:p>
    <w:p w14:paraId="7AD1DC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客户服务电话：0757-22223388</w:t>
      </w:r>
    </w:p>
    <w:p w14:paraId="5FF9F8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传真：0757-22388235</w:t>
      </w:r>
    </w:p>
    <w:p w14:paraId="13CDB3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网址：www.sdebank.com</w:t>
      </w:r>
    </w:p>
    <w:p w14:paraId="557C12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60) 四川天府银行</w:t>
      </w:r>
    </w:p>
    <w:p w14:paraId="13E20A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注册地址：四川省南充市涪江路1号</w:t>
      </w:r>
    </w:p>
    <w:p w14:paraId="61CC67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办公地址：四川省成都市锦江区东大街下东大街258号</w:t>
      </w:r>
    </w:p>
    <w:p w14:paraId="79AA65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法定代表人：邢敏</w:t>
      </w:r>
    </w:p>
    <w:p w14:paraId="1902B4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联系人：樊海波</w:t>
      </w:r>
    </w:p>
    <w:p w14:paraId="17C46D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联系电话：028-67676033</w:t>
      </w:r>
    </w:p>
    <w:p w14:paraId="6596F9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客户服务电话：400-16-96869</w:t>
      </w:r>
    </w:p>
    <w:p w14:paraId="6BFF2A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网址：www.tf.cn</w:t>
      </w:r>
    </w:p>
    <w:p w14:paraId="37123B8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61) 苏州银行</w:t>
      </w:r>
    </w:p>
    <w:p w14:paraId="51834F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注册地址：江苏省苏州市工业园区钟园路728号</w:t>
      </w:r>
    </w:p>
    <w:p w14:paraId="358967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办公地址：江苏省苏州市工业园区钟园路728号</w:t>
      </w:r>
    </w:p>
    <w:p w14:paraId="735562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法定代表人：王兰凤</w:t>
      </w:r>
    </w:p>
    <w:p w14:paraId="2DAB45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联系人：吴骏</w:t>
      </w:r>
    </w:p>
    <w:p w14:paraId="1E9ED6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联系电话：0512-69868373</w:t>
      </w:r>
    </w:p>
    <w:p w14:paraId="4E93DB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客户服务电话：96067</w:t>
      </w:r>
    </w:p>
    <w:p w14:paraId="194A2C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传真：0512-69868373</w:t>
      </w:r>
    </w:p>
    <w:p w14:paraId="4DA658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网址：www.suzhoubank.com</w:t>
      </w:r>
    </w:p>
    <w:p w14:paraId="018E68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62) 天津银行</w:t>
      </w:r>
    </w:p>
    <w:p w14:paraId="4F4A45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注册地址：天津市河西区友谊路15号</w:t>
      </w:r>
    </w:p>
    <w:p w14:paraId="6F4F35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办公地址：天津市河西区友谊路15号</w:t>
      </w:r>
    </w:p>
    <w:p w14:paraId="4CB94E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法定代表人：李宗唐</w:t>
      </w:r>
    </w:p>
    <w:p w14:paraId="7BF914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联系人：李岩</w:t>
      </w:r>
    </w:p>
    <w:p w14:paraId="1D9077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联系电话：022-28405684</w:t>
      </w:r>
    </w:p>
    <w:p w14:paraId="4A37F4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客户服务电话：4006960296</w:t>
      </w:r>
    </w:p>
    <w:p w14:paraId="5FB729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传真：022-28405631</w:t>
      </w:r>
    </w:p>
    <w:p w14:paraId="10D122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网址：www.bank-of-tianjin.com.cn</w:t>
      </w:r>
    </w:p>
    <w:p w14:paraId="421501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63) 威海市商业银行</w:t>
      </w:r>
    </w:p>
    <w:p w14:paraId="3AF019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注册地址：威海市宝泉路9号</w:t>
      </w:r>
    </w:p>
    <w:p w14:paraId="281706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办公地址：威海市宝泉路9号财政大厦</w:t>
      </w:r>
    </w:p>
    <w:p w14:paraId="1652DD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法定代表人：谭先国</w:t>
      </w:r>
    </w:p>
    <w:p w14:paraId="04087C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联系人：冯十卉</w:t>
      </w:r>
    </w:p>
    <w:p w14:paraId="549FDD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联系电话：0531-68978175</w:t>
      </w:r>
    </w:p>
    <w:p w14:paraId="140750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客户服务电话：山东省内96636、中国境内40000-96636</w:t>
      </w:r>
    </w:p>
    <w:p w14:paraId="77988F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传真：0531-68978176</w:t>
      </w:r>
    </w:p>
    <w:p w14:paraId="32BE23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网址：www.whccb.com，www.whccb.com.cn</w:t>
      </w:r>
    </w:p>
    <w:p w14:paraId="4369F3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64) 微众银行</w:t>
      </w:r>
    </w:p>
    <w:p w14:paraId="52B1C2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注册地址：深圳市前海深港合作区前湾一路1号A栋201室（入驻深圳市前海商务秘书有限公司）</w:t>
      </w:r>
    </w:p>
    <w:p w14:paraId="088D73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办公地址：广东省深圳市南山区沙河西路1819号深圳湾科技生态园7栋A座</w:t>
      </w:r>
    </w:p>
    <w:p w14:paraId="358845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法定代表人：顾敏</w:t>
      </w:r>
    </w:p>
    <w:p w14:paraId="47DE92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客户服务电话：95384</w:t>
      </w:r>
    </w:p>
    <w:p w14:paraId="40A5D9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网址：http://www.webank.com</w:t>
      </w:r>
    </w:p>
    <w:p w14:paraId="358521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65) 潍坊银行</w:t>
      </w:r>
    </w:p>
    <w:p w14:paraId="4F75C5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注册地址：山东省潍坊市奎文区胜利东街5139号</w:t>
      </w:r>
    </w:p>
    <w:p w14:paraId="741FAF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办公地址：山东省潍坊市奎文区胜利东街5139号</w:t>
      </w:r>
    </w:p>
    <w:p w14:paraId="7E9DDE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法定代表人：郭虎英</w:t>
      </w:r>
    </w:p>
    <w:p w14:paraId="097F1B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联系人：井靖</w:t>
      </w:r>
    </w:p>
    <w:p w14:paraId="6C5CFC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联系电话：0536-8051904</w:t>
      </w:r>
    </w:p>
    <w:p w14:paraId="465A0B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客户服务电话：400-61-96588</w:t>
      </w:r>
    </w:p>
    <w:p w14:paraId="077FAED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传真：0536-8056061</w:t>
      </w:r>
    </w:p>
    <w:p w14:paraId="486430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网址：www.wfccb.com</w:t>
      </w:r>
    </w:p>
    <w:p w14:paraId="4697EF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66) 西安银行</w:t>
      </w:r>
    </w:p>
    <w:p w14:paraId="4DD78F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注册地址：西安市高新路60号</w:t>
      </w:r>
    </w:p>
    <w:p w14:paraId="619797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办公地址：西安市高新路60号</w:t>
      </w:r>
    </w:p>
    <w:p w14:paraId="0FA38D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法定代表人：郭军</w:t>
      </w:r>
    </w:p>
    <w:p w14:paraId="108337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联系人：白智</w:t>
      </w:r>
    </w:p>
    <w:p w14:paraId="14E5CD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联系电话：029-88992881</w:t>
      </w:r>
    </w:p>
    <w:p w14:paraId="4F0B12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客户服务电话：40086-96779（全国）、96779（陕西）</w:t>
      </w:r>
    </w:p>
    <w:p w14:paraId="76E3031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网址：www.xacbank.com</w:t>
      </w:r>
    </w:p>
    <w:p w14:paraId="7DFA6B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67) 烟台银行</w:t>
      </w:r>
    </w:p>
    <w:p w14:paraId="0AECF9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注册地址：山东省烟台市芝罘区海港路25号</w:t>
      </w:r>
    </w:p>
    <w:p w14:paraId="402111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办公地址：山东省烟台市芝罘区海港路25号</w:t>
      </w:r>
    </w:p>
    <w:p w14:paraId="4FA8BAD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法定代表人：吴明理</w:t>
      </w:r>
    </w:p>
    <w:p w14:paraId="17144F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联系人：张卓智</w:t>
      </w:r>
    </w:p>
    <w:p w14:paraId="01435D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联系电话：0535-6699671</w:t>
      </w:r>
    </w:p>
    <w:p w14:paraId="107802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客户服务电话：4008-311-777</w:t>
      </w:r>
    </w:p>
    <w:p w14:paraId="670F5B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传真：0535-6699884</w:t>
      </w:r>
    </w:p>
    <w:p w14:paraId="5332F6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网址：www.yantaibank.net</w:t>
      </w:r>
    </w:p>
    <w:p w14:paraId="6514ED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68) 余杭农村商业银行</w:t>
      </w:r>
    </w:p>
    <w:p w14:paraId="6EE3EB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注册地址：杭州市余杭区南苑街道南大街72号</w:t>
      </w:r>
    </w:p>
    <w:p w14:paraId="38CB5C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办公地址：杭州市余杭区南苑街道南大街72号</w:t>
      </w:r>
    </w:p>
    <w:p w14:paraId="6CB2661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法定代表人：来煜标</w:t>
      </w:r>
    </w:p>
    <w:p w14:paraId="1303D5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联系人：蔡亮</w:t>
      </w:r>
    </w:p>
    <w:p w14:paraId="151ACD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联系电话：0571-86209980</w:t>
      </w:r>
    </w:p>
    <w:p w14:paraId="404AA2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客户服务电话：96596，4008896596</w:t>
      </w:r>
    </w:p>
    <w:p w14:paraId="0A3E9F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网址：www.yhrcb.com</w:t>
      </w:r>
    </w:p>
    <w:p w14:paraId="1F79EB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69) 浙江稠州商业银行</w:t>
      </w:r>
    </w:p>
    <w:p w14:paraId="2340435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注册地址：浙江省义乌市江滨路义乌乐园东侧</w:t>
      </w:r>
    </w:p>
    <w:p w14:paraId="73633A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办公地址：杭州市上城区望潮路158号稠银大厦</w:t>
      </w:r>
    </w:p>
    <w:p w14:paraId="40D052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法定代表人：金子军</w:t>
      </w:r>
    </w:p>
    <w:p w14:paraId="12F8DD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联系人：谢圆圆</w:t>
      </w:r>
    </w:p>
    <w:p w14:paraId="705B0B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联系电话：0571-87117661/13777805250</w:t>
      </w:r>
    </w:p>
    <w:p w14:paraId="6FDAFF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客户服务电话：0571-96527</w:t>
      </w:r>
    </w:p>
    <w:p w14:paraId="3F8019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传真：0571-87117607</w:t>
      </w:r>
    </w:p>
    <w:p w14:paraId="305145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网址：http://www.czcb.com.cn/</w:t>
      </w:r>
    </w:p>
    <w:p w14:paraId="38E548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70) 浙江泰隆商业银行</w:t>
      </w:r>
    </w:p>
    <w:p w14:paraId="4F2984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注册地址：浙江省台州市路桥区南官大道188号</w:t>
      </w:r>
    </w:p>
    <w:p w14:paraId="06C850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办公地址：浙江省台州市路桥区南官大道188号</w:t>
      </w:r>
    </w:p>
    <w:p w14:paraId="4DBBD7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法定代表人：王钧</w:t>
      </w:r>
    </w:p>
    <w:p w14:paraId="3A4F0B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联系人：陈妍宇</w:t>
      </w:r>
    </w:p>
    <w:p w14:paraId="057A0C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联系电话：0571-87219677</w:t>
      </w:r>
    </w:p>
    <w:p w14:paraId="363FE3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客户服务电话：95347</w:t>
      </w:r>
    </w:p>
    <w:p w14:paraId="4C057A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网址：www.zjtlcb.com</w:t>
      </w:r>
    </w:p>
    <w:p w14:paraId="09277B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71) 郑州银行</w:t>
      </w:r>
    </w:p>
    <w:p w14:paraId="4AAC060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注册地址：河南省郑州市郑东新区商务外环路22号</w:t>
      </w:r>
    </w:p>
    <w:p w14:paraId="4470B8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办公地址：河南省郑州市郑东新区商务外环路22号</w:t>
      </w:r>
    </w:p>
    <w:p w14:paraId="335F0A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法定代表人：王天宇</w:t>
      </w:r>
    </w:p>
    <w:p w14:paraId="60165A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联系人：焦明飞</w:t>
      </w:r>
    </w:p>
    <w:p w14:paraId="5499FD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联系电话：0371-67009917</w:t>
      </w:r>
    </w:p>
    <w:p w14:paraId="3299F3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客户服务电话：95097</w:t>
      </w:r>
    </w:p>
    <w:p w14:paraId="571CE5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传真：0371-67009097</w:t>
      </w:r>
    </w:p>
    <w:p w14:paraId="0AADB7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网址：http://www.zzbank.cn/</w:t>
      </w:r>
    </w:p>
    <w:p w14:paraId="4575B81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72) 中原银行</w:t>
      </w:r>
    </w:p>
    <w:p w14:paraId="502539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注册地址：河南省郑州市郑东新区CBD商务外环路23号中科金座大厦</w:t>
      </w:r>
    </w:p>
    <w:p w14:paraId="3F1BE5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办公地址：河南省郑州市郑东新区CBD商务外环路23号中科金座大厦</w:t>
      </w:r>
    </w:p>
    <w:p w14:paraId="2C34BF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法定代表人：窦荣兴</w:t>
      </w:r>
    </w:p>
    <w:p w14:paraId="7EA27F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联系人：张星强  联系电话：0371-85517713</w:t>
      </w:r>
    </w:p>
    <w:p w14:paraId="3AEF92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客户服务电话：95186</w:t>
      </w:r>
    </w:p>
    <w:p w14:paraId="13C774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网址：www.zybank.com.cn</w:t>
      </w:r>
    </w:p>
    <w:p w14:paraId="65BB2C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73) 重庆农村商业银行</w:t>
      </w:r>
    </w:p>
    <w:p w14:paraId="58B187E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注册地址：重庆市江北区金沙门路36号</w:t>
      </w:r>
    </w:p>
    <w:p w14:paraId="2DB7E9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办公地址：重庆市江北区金沙门路36号</w:t>
      </w:r>
    </w:p>
    <w:p w14:paraId="038ACC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法定代表人：刘建忠</w:t>
      </w:r>
    </w:p>
    <w:p w14:paraId="7ED75D1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联系人：范亮</w:t>
      </w:r>
    </w:p>
    <w:p w14:paraId="271A7F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联系电话：023-61110146</w:t>
      </w:r>
    </w:p>
    <w:p w14:paraId="3EA532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客户服务电话：95389</w:t>
      </w:r>
    </w:p>
    <w:p w14:paraId="629A31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传真：023-61110146</w:t>
      </w:r>
    </w:p>
    <w:p w14:paraId="50576B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网址：www.cqrcb.com</w:t>
      </w:r>
    </w:p>
    <w:p w14:paraId="44B684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74) 重庆银行</w:t>
      </w:r>
    </w:p>
    <w:p w14:paraId="2917003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注册地址：重庆市渝中区邹容路153号</w:t>
      </w:r>
    </w:p>
    <w:p w14:paraId="7270490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办公地址：重庆市江北区永平门街6号</w:t>
      </w:r>
    </w:p>
    <w:p w14:paraId="58AF2F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法定代表人：林军</w:t>
      </w:r>
    </w:p>
    <w:p w14:paraId="53D10C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联系人：石千凡</w:t>
      </w:r>
    </w:p>
    <w:p w14:paraId="15EC77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联系电话：023-63367180</w:t>
      </w:r>
    </w:p>
    <w:p w14:paraId="2BBC62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客户服务电话：96899，4007096899</w:t>
      </w:r>
    </w:p>
    <w:p w14:paraId="751A40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网址：www.cqcbank.com.cn</w:t>
      </w:r>
    </w:p>
    <w:p w14:paraId="0B1BF8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75) 珠海华润银行</w:t>
      </w:r>
    </w:p>
    <w:p w14:paraId="4B1CFD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注册地址：广东省珠海市吉大九洲大道东1346号</w:t>
      </w:r>
    </w:p>
    <w:p w14:paraId="322650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办公地址：广东省珠海市吉大九洲大道东1346号珠海华润银行大厦</w:t>
      </w:r>
    </w:p>
    <w:p w14:paraId="02F281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法定代表人：刘晓勇</w:t>
      </w:r>
    </w:p>
    <w:p w14:paraId="2C5A09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联系人：李阳</w:t>
      </w:r>
    </w:p>
    <w:p w14:paraId="15184F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联系电话：4008800338</w:t>
      </w:r>
    </w:p>
    <w:p w14:paraId="60C1B1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客户服务电话：96588（广东省外请加拨0756），400-8800-338</w:t>
      </w:r>
    </w:p>
    <w:p w14:paraId="01D44F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网址：www.crbank.com.cn</w:t>
      </w:r>
    </w:p>
    <w:p w14:paraId="48F14F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76) 安信证券</w:t>
      </w:r>
    </w:p>
    <w:p w14:paraId="6C7A0D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注册地址：深圳市福田区金田路4018号安联大厦35层、28层A02单元</w:t>
      </w:r>
    </w:p>
    <w:p w14:paraId="216635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办公地址：深圳市福田区金田路4018号安联大厦35层、28层A02单元</w:t>
      </w:r>
    </w:p>
    <w:p w14:paraId="6930D5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          深圳市福田区深南大道2008号中国凤凰大厦1栋9层</w:t>
      </w:r>
    </w:p>
    <w:p w14:paraId="116D97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法定代表人：王连志</w:t>
      </w:r>
    </w:p>
    <w:p w14:paraId="3457FA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联系人：陈剑虹</w:t>
      </w:r>
    </w:p>
    <w:p w14:paraId="2E37DD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联系电话：0755-82825551</w:t>
      </w:r>
    </w:p>
    <w:p w14:paraId="30428C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客户服务电话：95517</w:t>
      </w:r>
    </w:p>
    <w:p w14:paraId="040C59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传真：0755-82558355</w:t>
      </w:r>
    </w:p>
    <w:p w14:paraId="68E00D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网址：www.essence.com.cn</w:t>
      </w:r>
    </w:p>
    <w:p w14:paraId="7664C4B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77) 渤海证券</w:t>
      </w:r>
    </w:p>
    <w:p w14:paraId="12DC7C6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注册地址：天津市经济技术开发区第二大街42号写字楼101室</w:t>
      </w:r>
    </w:p>
    <w:p w14:paraId="2F9C30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办公地址：天津市南开区宾水西道8号</w:t>
      </w:r>
    </w:p>
    <w:p w14:paraId="15EF90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法定代表人：王春峰</w:t>
      </w:r>
    </w:p>
    <w:p w14:paraId="228A13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联系人：蔡霆</w:t>
      </w:r>
    </w:p>
    <w:p w14:paraId="2617DC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联系电话：022-28451991</w:t>
      </w:r>
    </w:p>
    <w:p w14:paraId="7C795C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客户服务电话：400-651-5988</w:t>
      </w:r>
    </w:p>
    <w:p w14:paraId="56CDF1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传真：022-28451892</w:t>
      </w:r>
    </w:p>
    <w:p w14:paraId="35A79F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网址：www.ewww.com.cn</w:t>
      </w:r>
    </w:p>
    <w:p w14:paraId="7AA2CE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78) 财达证券</w:t>
      </w:r>
    </w:p>
    <w:p w14:paraId="52D44D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注册地址：河北省石家庄市桥西区自强路35号</w:t>
      </w:r>
    </w:p>
    <w:p w14:paraId="35B222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办公地址：河北省石家庄市桥西区自强路35号庄家金融大厦23-26层</w:t>
      </w:r>
    </w:p>
    <w:p w14:paraId="0DE557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法定代表人：翟建强</w:t>
      </w:r>
    </w:p>
    <w:p w14:paraId="325A3A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联系人：李卓颖</w:t>
      </w:r>
    </w:p>
    <w:p w14:paraId="4A80C7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联系电话：0311-66008561</w:t>
      </w:r>
    </w:p>
    <w:p w14:paraId="496BF0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客户服务电话：95363（河北省内）；0311-95363（河北省外）</w:t>
      </w:r>
    </w:p>
    <w:p w14:paraId="4CECC8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传真：0311-66006414</w:t>
      </w:r>
    </w:p>
    <w:p w14:paraId="32D1DD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网址：www.s10000.com</w:t>
      </w:r>
    </w:p>
    <w:p w14:paraId="381D2B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79) 财富证券</w:t>
      </w:r>
    </w:p>
    <w:p w14:paraId="521BD3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注册地址：长沙市芙蓉中路二段80号顺天国际财富中心26层</w:t>
      </w:r>
    </w:p>
    <w:p w14:paraId="108DC0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办公地址：长沙市芙蓉中路二段80号顺天国际财富中心26-28层</w:t>
      </w:r>
    </w:p>
    <w:p w14:paraId="291331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法定代表人：刘宛晨</w:t>
      </w:r>
    </w:p>
    <w:p w14:paraId="605284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联系人：郭静</w:t>
      </w:r>
    </w:p>
    <w:p w14:paraId="58B51D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联系电话：0731-84403347</w:t>
      </w:r>
    </w:p>
    <w:p w14:paraId="3749BF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客户服务电话：95317</w:t>
      </w:r>
    </w:p>
    <w:p w14:paraId="234DFA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传真：0731-84403439</w:t>
      </w:r>
    </w:p>
    <w:p w14:paraId="018FBA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网址：www.cfzq.com</w:t>
      </w:r>
    </w:p>
    <w:p w14:paraId="01F264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80) 财通证券</w:t>
      </w:r>
    </w:p>
    <w:p w14:paraId="4AFC6A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注册地址：浙江省杭州市杭大路15号嘉华国际商务中心201，501，502，1103，1601-1615，1701-1716室</w:t>
      </w:r>
    </w:p>
    <w:p w14:paraId="50945C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办公地址：浙江省杭州市杭大路15号嘉华国际商务中心</w:t>
      </w:r>
    </w:p>
    <w:p w14:paraId="66B22A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法定代表人：陆建强</w:t>
      </w:r>
    </w:p>
    <w:p w14:paraId="5C055E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联系人：陶志华</w:t>
      </w:r>
    </w:p>
    <w:p w14:paraId="54FA58B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联系电话：0571－87789160</w:t>
      </w:r>
    </w:p>
    <w:p w14:paraId="232AF8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客户服务电话：95336、40086-96336</w:t>
      </w:r>
    </w:p>
    <w:p w14:paraId="428140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网址：www.ctsec.com</w:t>
      </w:r>
    </w:p>
    <w:p w14:paraId="73983F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81) 长城国瑞证券</w:t>
      </w:r>
    </w:p>
    <w:p w14:paraId="32DBCA4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注册地址：厦门市思明区莲前西路2号莲富大厦17楼</w:t>
      </w:r>
    </w:p>
    <w:p w14:paraId="34EB68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办公地址：厦门市思明区深田路46号深田国际大厦20楼</w:t>
      </w:r>
    </w:p>
    <w:p w14:paraId="460929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法定代表人：王勇</w:t>
      </w:r>
    </w:p>
    <w:p w14:paraId="689067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联系人：邱震</w:t>
      </w:r>
    </w:p>
    <w:p w14:paraId="06D9C6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联系电话：0592-2079259</w:t>
      </w:r>
    </w:p>
    <w:p w14:paraId="6BA30D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客户服务电话：400-0099-886</w:t>
      </w:r>
    </w:p>
    <w:p w14:paraId="69545D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传真：0592-2079602</w:t>
      </w:r>
    </w:p>
    <w:p w14:paraId="648508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网址：www.gwgsc.com</w:t>
      </w:r>
    </w:p>
    <w:p w14:paraId="5EB1CC4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82) 长城证券</w:t>
      </w:r>
    </w:p>
    <w:p w14:paraId="65F63F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注册地址：深圳市福田区深南大道6008号特区报业大厦16、17层</w:t>
      </w:r>
    </w:p>
    <w:p w14:paraId="32F188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办公地址：深圳市福田区深南大道6008号特区报业大厦14、16、17层</w:t>
      </w:r>
    </w:p>
    <w:p w14:paraId="772096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法定代表人：曹宏</w:t>
      </w:r>
    </w:p>
    <w:p w14:paraId="383A38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联系人：金夏</w:t>
      </w:r>
    </w:p>
    <w:p w14:paraId="2C84B0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联系电话：0755-83516289</w:t>
      </w:r>
    </w:p>
    <w:p w14:paraId="7976C2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客户服务电话：400-6666-888</w:t>
      </w:r>
    </w:p>
    <w:p w14:paraId="5C0443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传真：0755-83516199</w:t>
      </w:r>
    </w:p>
    <w:p w14:paraId="2A9278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网址：www.cgws.com</w:t>
      </w:r>
    </w:p>
    <w:p w14:paraId="5029A8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83) 长江证券</w:t>
      </w:r>
    </w:p>
    <w:p w14:paraId="694265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注册地址：湖北省武汉市新华路特8号</w:t>
      </w:r>
    </w:p>
    <w:p w14:paraId="332AFB6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办公地址：湖北省武汉市新华路特8号长江证券大厦</w:t>
      </w:r>
    </w:p>
    <w:p w14:paraId="12FBCF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法定代表人：李新华</w:t>
      </w:r>
    </w:p>
    <w:p w14:paraId="6158F6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联系人：奚博宇</w:t>
      </w:r>
    </w:p>
    <w:p w14:paraId="2D02FF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联系电话：027-65799999</w:t>
      </w:r>
    </w:p>
    <w:p w14:paraId="6705715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客户服务电话：95579或4008-888-999</w:t>
      </w:r>
    </w:p>
    <w:p w14:paraId="56D8FA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传真：027-85481900</w:t>
      </w:r>
    </w:p>
    <w:p w14:paraId="5D1B7F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网址：www.95579.com</w:t>
      </w:r>
    </w:p>
    <w:p w14:paraId="02E49A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84) 川财证券</w:t>
      </w:r>
    </w:p>
    <w:p w14:paraId="171305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注册地址：中国（四川）自由贸易试验区成都高新区交子大道177号中海国际中心B座17楼</w:t>
      </w:r>
    </w:p>
    <w:p w14:paraId="4FB9BE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办公地址：四川省成都高新区交子大道177号中海国际中心B座17楼</w:t>
      </w:r>
    </w:p>
    <w:p w14:paraId="23C2A6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法定代表人：孟建军</w:t>
      </w:r>
    </w:p>
    <w:p w14:paraId="7D7021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联系人：匡婷</w:t>
      </w:r>
    </w:p>
    <w:p w14:paraId="51BCD7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联系电话：028-86583053</w:t>
      </w:r>
    </w:p>
    <w:p w14:paraId="549ADD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客户服务电话：028-86583000 </w:t>
      </w:r>
    </w:p>
    <w:p w14:paraId="542354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网址：www.cczq.com</w:t>
      </w:r>
    </w:p>
    <w:p w14:paraId="6A5E13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85) 大通证券</w:t>
      </w:r>
    </w:p>
    <w:p w14:paraId="3623EB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注册地址：辽宁省大连市沙河口区会展路129号大连国际金融中心A座-大连期货大厦38、39层</w:t>
      </w:r>
    </w:p>
    <w:p w14:paraId="1B0C33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办公地址：辽宁省大连市沙河口区会展路129号大连国际金融中心A座-大连期货大</w:t>
      </w:r>
      <w:r w:rsidRPr="00487553">
        <w:rPr>
          <w:rFonts w:asciiTheme="minorEastAsia" w:eastAsiaTheme="minorEastAsia" w:hAnsiTheme="minorEastAsia" w:hint="eastAsia"/>
          <w:szCs w:val="21"/>
        </w:rPr>
        <w:lastRenderedPageBreak/>
        <w:t>厦38、39层</w:t>
      </w:r>
    </w:p>
    <w:p w14:paraId="3E2953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法定代表人：赵玺</w:t>
      </w:r>
    </w:p>
    <w:p w14:paraId="52648D9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联系人：谢立军</w:t>
      </w:r>
    </w:p>
    <w:p w14:paraId="7699A31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联系电话：0411-39991807</w:t>
      </w:r>
    </w:p>
    <w:p w14:paraId="7F1288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客户服务电话：4008-169-169</w:t>
      </w:r>
    </w:p>
    <w:p w14:paraId="04FD9E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传真：0411-39673214</w:t>
      </w:r>
    </w:p>
    <w:p w14:paraId="10B1A5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网址：www.daton.com.cn</w:t>
      </w:r>
    </w:p>
    <w:p w14:paraId="0A34D2B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86) 大同证券</w:t>
      </w:r>
    </w:p>
    <w:p w14:paraId="2784C8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注册地址：大同市城区迎宾街15号桐城中央21层</w:t>
      </w:r>
    </w:p>
    <w:p w14:paraId="2C1E89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办公地址：山西省太原市小店区长治路111号山西世贸中心A座F12、F13</w:t>
      </w:r>
    </w:p>
    <w:p w14:paraId="2A951C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法定代表人：董祥</w:t>
      </w:r>
    </w:p>
    <w:p w14:paraId="3576F6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联系人：薛津</w:t>
      </w:r>
    </w:p>
    <w:p w14:paraId="2FDB22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联系电话：0351-4130322</w:t>
      </w:r>
    </w:p>
    <w:p w14:paraId="04CB5E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客户服务电话：4007121212</w:t>
      </w:r>
    </w:p>
    <w:p w14:paraId="08E935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传真：0351-7219891</w:t>
      </w:r>
    </w:p>
    <w:p w14:paraId="75A3FB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网址：www.dtsbc.com.cn</w:t>
      </w:r>
    </w:p>
    <w:p w14:paraId="2F0757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87) 德邦证券</w:t>
      </w:r>
    </w:p>
    <w:p w14:paraId="47A754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注册地址：上海市普陀区曹杨路510号南半幢9楼</w:t>
      </w:r>
    </w:p>
    <w:p w14:paraId="79560A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办公地址：上海市福山路500号城建国际中心29楼</w:t>
      </w:r>
    </w:p>
    <w:p w14:paraId="74F032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法定代表人：武晓春</w:t>
      </w:r>
    </w:p>
    <w:p w14:paraId="3DDF60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联系人：刘熠</w:t>
      </w:r>
    </w:p>
    <w:p w14:paraId="3D799E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联系电话：021-68761616</w:t>
      </w:r>
    </w:p>
    <w:p w14:paraId="7DCA18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客户服务电话：400-8888-128</w:t>
      </w:r>
    </w:p>
    <w:p w14:paraId="4D1FF6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传真：021-68767880</w:t>
      </w:r>
    </w:p>
    <w:p w14:paraId="5E3B1CD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网址：http://www.tebon.com.cn</w:t>
      </w:r>
    </w:p>
    <w:p w14:paraId="1CCE09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88) 第一创业证券</w:t>
      </w:r>
    </w:p>
    <w:p w14:paraId="274C39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注册地址：深圳市福田区福华一路115号投行大厦20楼</w:t>
      </w:r>
    </w:p>
    <w:p w14:paraId="323CE4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办公地址：深圳市福田区福华一路115号投行大厦20楼</w:t>
      </w:r>
    </w:p>
    <w:p w14:paraId="6517E3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法定代表人：刘学民</w:t>
      </w:r>
    </w:p>
    <w:p w14:paraId="607381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联系人：毛诗莉</w:t>
      </w:r>
    </w:p>
    <w:p w14:paraId="4A3FD0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联系电话：0755-23838750</w:t>
      </w:r>
    </w:p>
    <w:p w14:paraId="0D3388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客户服务电话：95358</w:t>
      </w:r>
    </w:p>
    <w:p w14:paraId="0D0C6D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网址：www.firstcapital.com.cn</w:t>
      </w:r>
    </w:p>
    <w:p w14:paraId="30C4A9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89) 东北证券</w:t>
      </w:r>
    </w:p>
    <w:p w14:paraId="03A15A9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注册地址：长春市生态大街6666号</w:t>
      </w:r>
    </w:p>
    <w:p w14:paraId="601CAF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办公地址：长春市生态大街6666号</w:t>
      </w:r>
    </w:p>
    <w:p w14:paraId="4790B1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法定代表人：李福春</w:t>
      </w:r>
    </w:p>
    <w:p w14:paraId="150686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联系人：安岩岩</w:t>
      </w:r>
    </w:p>
    <w:p w14:paraId="3671E9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联系电话：0431-85096517</w:t>
      </w:r>
    </w:p>
    <w:p w14:paraId="4B06FD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客户服务电话：95360</w:t>
      </w:r>
    </w:p>
    <w:p w14:paraId="664760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传真：0431-85096795</w:t>
      </w:r>
    </w:p>
    <w:p w14:paraId="5B57C4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网址：www.nesc.cn</w:t>
      </w:r>
    </w:p>
    <w:p w14:paraId="510CBF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90) 东莞证券</w:t>
      </w:r>
    </w:p>
    <w:p w14:paraId="710FAF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注册地址：东莞市莞城区可园南路一号</w:t>
      </w:r>
    </w:p>
    <w:p w14:paraId="01C85B1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办公地址：东莞市莞城区可园南路1号金源中心30楼</w:t>
      </w:r>
    </w:p>
    <w:p w14:paraId="7E5B00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法定代表人：陈照星</w:t>
      </w:r>
    </w:p>
    <w:p w14:paraId="0435FB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联系人：李荣</w:t>
      </w:r>
    </w:p>
    <w:p w14:paraId="25ED7C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联系电话：0769-22115712</w:t>
      </w:r>
    </w:p>
    <w:p w14:paraId="22C5F6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客户服务电话：95328</w:t>
      </w:r>
    </w:p>
    <w:p w14:paraId="1F9A01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传真：0769-22115712</w:t>
      </w:r>
    </w:p>
    <w:p w14:paraId="7228E1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网址：www.dgzq.com.cn</w:t>
      </w:r>
    </w:p>
    <w:p w14:paraId="2569F3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91) 东海证券</w:t>
      </w:r>
    </w:p>
    <w:p w14:paraId="6CA39A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注册地址：江苏省常州市延陵西路23号投资广场18层</w:t>
      </w:r>
    </w:p>
    <w:p w14:paraId="5B7102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办公地址：上海市浦东新区东方路1928号东海证券大厦</w:t>
      </w:r>
    </w:p>
    <w:p w14:paraId="197B240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法定代表人：赵俊</w:t>
      </w:r>
    </w:p>
    <w:p w14:paraId="2420F2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联系人：王一彦</w:t>
      </w:r>
    </w:p>
    <w:p w14:paraId="1F11BA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联系电话：021-20333333</w:t>
      </w:r>
    </w:p>
    <w:p w14:paraId="061DBC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客户服务电话：95531；400-8888-588</w:t>
      </w:r>
    </w:p>
    <w:p w14:paraId="3DCFD6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传真：021-50498825</w:t>
      </w:r>
    </w:p>
    <w:p w14:paraId="696059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网址：www.longone.com.cn</w:t>
      </w:r>
    </w:p>
    <w:p w14:paraId="30678B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92) 东吴证券</w:t>
      </w:r>
    </w:p>
    <w:p w14:paraId="0F6A3C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注册地址：苏州工业园区星阳街5号</w:t>
      </w:r>
    </w:p>
    <w:p w14:paraId="79A34A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办公地址：苏州工业园区星阳街5号</w:t>
      </w:r>
    </w:p>
    <w:p w14:paraId="087CE5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法定代表人：范力</w:t>
      </w:r>
    </w:p>
    <w:p w14:paraId="3A6DA2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联系人：陆晓</w:t>
      </w:r>
    </w:p>
    <w:p w14:paraId="1B05F8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联系电话：0512-62938521</w:t>
      </w:r>
    </w:p>
    <w:p w14:paraId="4F0E94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客户服务电话：95330</w:t>
      </w:r>
    </w:p>
    <w:p w14:paraId="7D6262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传真：0512-65588021</w:t>
      </w:r>
    </w:p>
    <w:p w14:paraId="427B47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网址：www.dwzq.com.cn</w:t>
      </w:r>
    </w:p>
    <w:p w14:paraId="0E6041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93) 方正证券</w:t>
      </w:r>
    </w:p>
    <w:p w14:paraId="1DC10F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注册地址：长沙市天心区湘江中路二段36号华远华中心4、5号楼3701-3717</w:t>
      </w:r>
    </w:p>
    <w:p w14:paraId="127207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办公地址：北京市朝阳区北四环中路27号盘古大观A座40F</w:t>
      </w:r>
    </w:p>
    <w:p w14:paraId="3BA7D3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法定代表人：施华</w:t>
      </w:r>
    </w:p>
    <w:p w14:paraId="307C5B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联系人：程博怡</w:t>
      </w:r>
    </w:p>
    <w:p w14:paraId="2DC234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联系电话：010-56437060</w:t>
      </w:r>
    </w:p>
    <w:p w14:paraId="0E5E145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客户服务电话：95571</w:t>
      </w:r>
    </w:p>
    <w:p w14:paraId="4A4027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传真：010-56437013</w:t>
      </w:r>
    </w:p>
    <w:p w14:paraId="1A2BB8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网址：www.foundersc.com</w:t>
      </w:r>
    </w:p>
    <w:p w14:paraId="1A596C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94) 光大证券</w:t>
      </w:r>
    </w:p>
    <w:p w14:paraId="739954D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注册地址：上海市静安区新闸路1508号</w:t>
      </w:r>
    </w:p>
    <w:p w14:paraId="5C59AF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办公地址：上海市静安区新闸路1508号</w:t>
      </w:r>
    </w:p>
    <w:p w14:paraId="77A1313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法定代表人：周健男</w:t>
      </w:r>
    </w:p>
    <w:p w14:paraId="7DEA51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联系人：龚俊涛</w:t>
      </w:r>
    </w:p>
    <w:p w14:paraId="214702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联系电话：021-22169999</w:t>
      </w:r>
    </w:p>
    <w:p w14:paraId="3C362E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客户服务电话：95525</w:t>
      </w:r>
    </w:p>
    <w:p w14:paraId="05B30D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传真：021-22169134</w:t>
      </w:r>
    </w:p>
    <w:p w14:paraId="411C5A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网址：www.ebscn.com</w:t>
      </w:r>
    </w:p>
    <w:p w14:paraId="77D63B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95) 广发证券</w:t>
      </w:r>
    </w:p>
    <w:p w14:paraId="70B97E0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注册地址：广东省广州市黄埔区中新广州知识城腾飞一街2号618室</w:t>
      </w:r>
    </w:p>
    <w:p w14:paraId="1725A3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办公地址：广州市天河区马场路26号广发证券大厦</w:t>
      </w:r>
    </w:p>
    <w:p w14:paraId="19F853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法定代表人：孙树明</w:t>
      </w:r>
    </w:p>
    <w:p w14:paraId="6698775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联系人：黄岚</w:t>
      </w:r>
    </w:p>
    <w:p w14:paraId="02262F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客户服务电话：95575或02095575</w:t>
      </w:r>
    </w:p>
    <w:p w14:paraId="0E01A9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网址：www.gf.com.cn</w:t>
      </w:r>
    </w:p>
    <w:p w14:paraId="70C1C6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96) 广州证券</w:t>
      </w:r>
    </w:p>
    <w:p w14:paraId="54F1D4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注册地址：广州市天河区珠江西路5号广州国际金融中心主塔19层、20层</w:t>
      </w:r>
    </w:p>
    <w:p w14:paraId="5C7E2A8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办公地址：广州市天河区珠江西路5号广州国际金融中心主塔19层、20层</w:t>
      </w:r>
    </w:p>
    <w:p w14:paraId="6F320C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法定代表人：胡伏云</w:t>
      </w:r>
    </w:p>
    <w:p w14:paraId="6E26CD6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联系人：梁微</w:t>
      </w:r>
    </w:p>
    <w:p w14:paraId="61A35C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联系电话：020-88836999</w:t>
      </w:r>
    </w:p>
    <w:p w14:paraId="531925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客户服务电话：95396</w:t>
      </w:r>
    </w:p>
    <w:p w14:paraId="06CD1B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传真：020-88836654</w:t>
      </w:r>
    </w:p>
    <w:p w14:paraId="05AF21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网址：www.gzs.com.cn</w:t>
      </w:r>
    </w:p>
    <w:p w14:paraId="2AAB73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97) 国都证券</w:t>
      </w:r>
    </w:p>
    <w:p w14:paraId="0E7873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注册地址：北京市东城区东直门南大街3号国华投资大厦9层10层</w:t>
      </w:r>
    </w:p>
    <w:p w14:paraId="3DE521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办公地址：北京市东城区东直门南大街3号国华投资大厦9层10层</w:t>
      </w:r>
    </w:p>
    <w:p w14:paraId="1A3604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法定代表人：王少华</w:t>
      </w:r>
    </w:p>
    <w:p w14:paraId="2565DD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联系人：黄静</w:t>
      </w:r>
    </w:p>
    <w:p w14:paraId="4FE376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联系电话：010-84183389</w:t>
      </w:r>
    </w:p>
    <w:p w14:paraId="64383F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客户服务电话：400-818-8118</w:t>
      </w:r>
    </w:p>
    <w:p w14:paraId="5CD61A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传真：010-84183311-3122</w:t>
      </w:r>
    </w:p>
    <w:p w14:paraId="1CB7F4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网址：www.guodu.com</w:t>
      </w:r>
    </w:p>
    <w:p w14:paraId="5830F0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98) 国海证券</w:t>
      </w:r>
    </w:p>
    <w:p w14:paraId="688540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注册地址：广西桂林市辅星路13号</w:t>
      </w:r>
    </w:p>
    <w:p w14:paraId="5B0638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办公地址：深圳市福田区竹子林四路光大银行大厦3楼</w:t>
      </w:r>
    </w:p>
    <w:p w14:paraId="18C551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法定代表人：何春梅</w:t>
      </w:r>
    </w:p>
    <w:p w14:paraId="64D369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联系人：田密</w:t>
      </w:r>
    </w:p>
    <w:p w14:paraId="1D8AAA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联系电话：0755-83716916</w:t>
      </w:r>
    </w:p>
    <w:p w14:paraId="6BB167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客户服务电话：95563或0771-95563</w:t>
      </w:r>
    </w:p>
    <w:p w14:paraId="0FE56A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网址：www.ghzq.com.cn</w:t>
      </w:r>
    </w:p>
    <w:p w14:paraId="6F2109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99) 国金证券</w:t>
      </w:r>
    </w:p>
    <w:p w14:paraId="617CECB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注册地址：成都市青羊区东城根上街95号</w:t>
      </w:r>
    </w:p>
    <w:p w14:paraId="109306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办公地址：成都市青羊区东城根上街95号成证大厦</w:t>
      </w:r>
    </w:p>
    <w:p w14:paraId="736094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法定代表人：冉云</w:t>
      </w:r>
    </w:p>
    <w:p w14:paraId="5B3F66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联系人：杜晶、黎建平</w:t>
      </w:r>
    </w:p>
    <w:p w14:paraId="2A3BD6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联系电话：028-86690057</w:t>
      </w:r>
    </w:p>
    <w:p w14:paraId="549FA5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客户服务电话：95310</w:t>
      </w:r>
    </w:p>
    <w:p w14:paraId="0B911C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传真：028-86690126</w:t>
      </w:r>
    </w:p>
    <w:p w14:paraId="58F94A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网址：www.gjzq.com.cn</w:t>
      </w:r>
    </w:p>
    <w:p w14:paraId="6E9D14D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100) 国联证券</w:t>
      </w:r>
    </w:p>
    <w:p w14:paraId="1B34B7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注册地址：江苏省无锡市太湖新城金融一街8号</w:t>
      </w:r>
    </w:p>
    <w:p w14:paraId="507AE7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办公地址：江苏省无锡市太湖新城金融一街8号国联金融大厦</w:t>
      </w:r>
    </w:p>
    <w:p w14:paraId="161382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法定代表人：姚志勇</w:t>
      </w:r>
    </w:p>
    <w:p w14:paraId="05899D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联系人：祁昊</w:t>
      </w:r>
    </w:p>
    <w:p w14:paraId="0B63E3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联系电话：0510-82831662</w:t>
      </w:r>
    </w:p>
    <w:p w14:paraId="1214868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客户服务电话：95570</w:t>
      </w:r>
    </w:p>
    <w:p w14:paraId="387A86D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传真：0510-82830162</w:t>
      </w:r>
    </w:p>
    <w:p w14:paraId="4F92F7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网址：www.glsc.com.cn</w:t>
      </w:r>
    </w:p>
    <w:p w14:paraId="543112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101) 国融证券</w:t>
      </w:r>
    </w:p>
    <w:p w14:paraId="799BDC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注册地址：内蒙古自治区呼和浩特市武川县腾飞大道1号4楼</w:t>
      </w:r>
    </w:p>
    <w:p w14:paraId="6B5D4D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办公地址：内蒙古自治区呼和浩特市武川县腾飞大道与呈祥路交汇处武川立农村镇银行股份有限公司四楼</w:t>
      </w:r>
    </w:p>
    <w:p w14:paraId="7564C8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法定代表人：张智河</w:t>
      </w:r>
    </w:p>
    <w:p w14:paraId="367544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联系人：郭一非</w:t>
      </w:r>
    </w:p>
    <w:p w14:paraId="4BBFFD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联系电话：010-83991777</w:t>
      </w:r>
    </w:p>
    <w:p w14:paraId="1F7048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客户服务电话：95385或400-660-9839</w:t>
      </w:r>
    </w:p>
    <w:p w14:paraId="3188C50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传真：010-66412537</w:t>
      </w:r>
    </w:p>
    <w:p w14:paraId="66FC9B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网址：www.grzq.com</w:t>
      </w:r>
    </w:p>
    <w:p w14:paraId="03F8A3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102) 国盛证券</w:t>
      </w:r>
    </w:p>
    <w:p w14:paraId="749BE1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注册地址：江西省南昌市红谷滩新区凤凰中大道1115号北京银行南昌分行营业大楼</w:t>
      </w:r>
    </w:p>
    <w:p w14:paraId="1B3488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办公地址：江西省南昌市红谷滩新区凤凰中大道1115号北京银行大厦</w:t>
      </w:r>
    </w:p>
    <w:p w14:paraId="495E6B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法定代表人：徐丽峰</w:t>
      </w:r>
    </w:p>
    <w:p w14:paraId="4656E8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联系人：占文驰</w:t>
      </w:r>
    </w:p>
    <w:p w14:paraId="0F18D5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联系电话：0791-86283372</w:t>
      </w:r>
    </w:p>
    <w:p w14:paraId="46D147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客户服务电话：4008-222-111</w:t>
      </w:r>
    </w:p>
    <w:p w14:paraId="65ABB0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传真：0791-86281305</w:t>
      </w:r>
    </w:p>
    <w:p w14:paraId="06B01E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网址：www.gszq.com</w:t>
      </w:r>
    </w:p>
    <w:p w14:paraId="2D9EB9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103) 国泰君安证券</w:t>
      </w:r>
    </w:p>
    <w:p w14:paraId="3D328F5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注册地址：中国（上海）自由贸易试验区商城路618号</w:t>
      </w:r>
    </w:p>
    <w:p w14:paraId="57B306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办公地址：上海市静安区南京西路768号国泰君安大厦 </w:t>
      </w:r>
    </w:p>
    <w:p w14:paraId="0A18D7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法定代表人：杨德红</w:t>
      </w:r>
    </w:p>
    <w:p w14:paraId="761A46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联系人：芮敏祺</w:t>
      </w:r>
    </w:p>
    <w:p w14:paraId="690613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客户服务电话：95521</w:t>
      </w:r>
    </w:p>
    <w:p w14:paraId="29258C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传真：021-38670666</w:t>
      </w:r>
    </w:p>
    <w:p w14:paraId="209692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网址：www.gtja.com</w:t>
      </w:r>
    </w:p>
    <w:p w14:paraId="4B7560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104) 国信证券</w:t>
      </w:r>
    </w:p>
    <w:p w14:paraId="710660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注册地址：深圳市罗湖区红岭中路1012号国信证券大厦十六层至二十六层</w:t>
      </w:r>
    </w:p>
    <w:p w14:paraId="1CBCBF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办公地址：深圳市罗湖区红岭中路1012号国信证券大厦十六层至二十六层</w:t>
      </w:r>
    </w:p>
    <w:p w14:paraId="1010B3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法定代表人：何如</w:t>
      </w:r>
    </w:p>
    <w:p w14:paraId="6BBD1C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联系人：李颖</w:t>
      </w:r>
    </w:p>
    <w:p w14:paraId="5103B2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联系电话：0755-82130833</w:t>
      </w:r>
    </w:p>
    <w:p w14:paraId="15DC57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客户服务电话：95536</w:t>
      </w:r>
    </w:p>
    <w:p w14:paraId="4105F7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传真：0755-82133952</w:t>
      </w:r>
    </w:p>
    <w:p w14:paraId="1CFE7E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网址：www.guosen.com.cn</w:t>
      </w:r>
    </w:p>
    <w:p w14:paraId="6A3E66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105) 国元证券</w:t>
      </w:r>
    </w:p>
    <w:p w14:paraId="77010C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注册地址：安徽省合肥市梅山路18号</w:t>
      </w:r>
    </w:p>
    <w:p w14:paraId="7E4519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办公地址：安徽省合肥市梅山路18号安徽国际金融中心A座国元证券</w:t>
      </w:r>
    </w:p>
    <w:p w14:paraId="3BDF78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法定代表人：蔡咏</w:t>
      </w:r>
    </w:p>
    <w:p w14:paraId="07231E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联系人：李蔡</w:t>
      </w:r>
    </w:p>
    <w:p w14:paraId="694FBA6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客户服务电话：95578</w:t>
      </w:r>
    </w:p>
    <w:p w14:paraId="32AE26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传真：0551-2272100</w:t>
      </w:r>
    </w:p>
    <w:p w14:paraId="5DF7BD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网址：www.gyzq.com.cn</w:t>
      </w:r>
    </w:p>
    <w:p w14:paraId="042842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106) 海通证券</w:t>
      </w:r>
    </w:p>
    <w:p w14:paraId="177B89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注册地址：上海市广东路689号</w:t>
      </w:r>
    </w:p>
    <w:p w14:paraId="795AA3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办公地址：上海市广东路689号</w:t>
      </w:r>
    </w:p>
    <w:p w14:paraId="2539755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法定代表人：周杰</w:t>
      </w:r>
    </w:p>
    <w:p w14:paraId="28571C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联系人：金芸、李笑鸣</w:t>
      </w:r>
    </w:p>
    <w:p w14:paraId="30E237C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联系电话：021-23219000</w:t>
      </w:r>
    </w:p>
    <w:p w14:paraId="7181D5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客户服务电话：95553</w:t>
      </w:r>
    </w:p>
    <w:p w14:paraId="1CF33E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传真：021-23219100</w:t>
      </w:r>
    </w:p>
    <w:p w14:paraId="3AAC2E0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网址：www.htsec.com</w:t>
      </w:r>
    </w:p>
    <w:p w14:paraId="7A6FB8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107) 华安证券</w:t>
      </w:r>
    </w:p>
    <w:p w14:paraId="2B0EE2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注册地址：安徽省合肥市政务文化新区天鹅湖路198号</w:t>
      </w:r>
    </w:p>
    <w:p w14:paraId="75136E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办公地址：安徽省合肥市政务文化新区天鹅湖路198号</w:t>
      </w:r>
    </w:p>
    <w:p w14:paraId="0594AA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法定代表人：章宏韬</w:t>
      </w:r>
    </w:p>
    <w:p w14:paraId="336C7FF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联系人：范超</w:t>
      </w:r>
    </w:p>
    <w:p w14:paraId="6474D9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联系电话：0551-65161821</w:t>
      </w:r>
    </w:p>
    <w:p w14:paraId="71D74F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客户服务电话：95318</w:t>
      </w:r>
    </w:p>
    <w:p w14:paraId="6C0BF5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传真：0551-65161672</w:t>
      </w:r>
    </w:p>
    <w:p w14:paraId="21D720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网址：www.hazq.com</w:t>
      </w:r>
    </w:p>
    <w:p w14:paraId="5518BD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108) 华宝证券</w:t>
      </w:r>
    </w:p>
    <w:p w14:paraId="3132AD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注册地址：中国（上海）自由贸易试验区世纪大道100号57层</w:t>
      </w:r>
    </w:p>
    <w:p w14:paraId="002400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办公地址：中国（上海）自由贸易试验区世纪大道100号57层</w:t>
      </w:r>
    </w:p>
    <w:p w14:paraId="0043ED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法定代表人：陈林</w:t>
      </w:r>
    </w:p>
    <w:p w14:paraId="48E8B4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联系人：刘闻川</w:t>
      </w:r>
    </w:p>
    <w:p w14:paraId="226B33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联系电话：021-20657517</w:t>
      </w:r>
    </w:p>
    <w:p w14:paraId="05A1DE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客户服务电话：400-820-9898</w:t>
      </w:r>
    </w:p>
    <w:p w14:paraId="2DD559E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传真：021-20515593</w:t>
      </w:r>
    </w:p>
    <w:p w14:paraId="6CE719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网址：www.cnhbstock.com</w:t>
      </w:r>
    </w:p>
    <w:p w14:paraId="78C0DC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109) 华福证券</w:t>
      </w:r>
    </w:p>
    <w:p w14:paraId="19C8DD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注册地址：福州市鼓楼区温泉街道五四路157号7－8层</w:t>
      </w:r>
    </w:p>
    <w:p w14:paraId="49EB8A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办公地址：上海市浦东新区陆家嘴环路1088号招商银行大厦18-19楼</w:t>
      </w:r>
    </w:p>
    <w:p w14:paraId="6C27C4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法定代表人：黄金琳</w:t>
      </w:r>
    </w:p>
    <w:p w14:paraId="4CAD8E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联系人：王虹</w:t>
      </w:r>
    </w:p>
    <w:p w14:paraId="39342C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联系电话：021-20655183</w:t>
      </w:r>
    </w:p>
    <w:p w14:paraId="219D7B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客户服务电话：95547</w:t>
      </w:r>
    </w:p>
    <w:p w14:paraId="31A926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传真：021-20655196</w:t>
      </w:r>
    </w:p>
    <w:p w14:paraId="4148BE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网址：www.hfzq.com.cn</w:t>
      </w:r>
    </w:p>
    <w:p w14:paraId="1EB0D1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110) 华林证券</w:t>
      </w:r>
    </w:p>
    <w:p w14:paraId="006C37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注册地址：拉萨市柳梧新区国际总部城3幢1单元5-5</w:t>
      </w:r>
    </w:p>
    <w:p w14:paraId="529A07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办公地址：深圳市福田区民田路178号华融大厦6楼</w:t>
      </w:r>
    </w:p>
    <w:p w14:paraId="7A1FEB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法定代表人：林立</w:t>
      </w:r>
    </w:p>
    <w:p w14:paraId="35889C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联系人：胡倩</w:t>
      </w:r>
    </w:p>
    <w:p w14:paraId="54E99C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联系电话：0755-83255199</w:t>
      </w:r>
    </w:p>
    <w:p w14:paraId="21132F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客户服务电话：400-188-3888</w:t>
      </w:r>
    </w:p>
    <w:p w14:paraId="780E56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网址：www.chinalin.com</w:t>
      </w:r>
    </w:p>
    <w:p w14:paraId="590A6C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111) 华龙证券</w:t>
      </w:r>
    </w:p>
    <w:p w14:paraId="7FE7CB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注册地址：兰州市城关区东岗西路638号兰州财富中心21楼</w:t>
      </w:r>
    </w:p>
    <w:p w14:paraId="7A7CE8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办公地址：兰州市城关区东岗西路638号兰州财富中心</w:t>
      </w:r>
    </w:p>
    <w:p w14:paraId="24E732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法定代表人：陈牧原</w:t>
      </w:r>
    </w:p>
    <w:p w14:paraId="548827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联系人：范坤</w:t>
      </w:r>
    </w:p>
    <w:p w14:paraId="0663D1A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联系电话：0931-4890208</w:t>
      </w:r>
    </w:p>
    <w:p w14:paraId="3E6FC3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客户服务电话：95368、400-689-8888</w:t>
      </w:r>
    </w:p>
    <w:p w14:paraId="60A8DD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传真：0931-4890628</w:t>
      </w:r>
    </w:p>
    <w:p w14:paraId="49446F1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网址：www.hlzq.com</w:t>
      </w:r>
    </w:p>
    <w:p w14:paraId="616708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112) 华融证券</w:t>
      </w:r>
    </w:p>
    <w:p w14:paraId="48C27C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注册地址：北京市西城区金融大街8号</w:t>
      </w:r>
    </w:p>
    <w:p w14:paraId="683D71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办公地址：北京市朝阳区朝阳门北大街18号中国人保寿险大厦11至18层</w:t>
      </w:r>
    </w:p>
    <w:p w14:paraId="183034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法定代表人：祝献忠</w:t>
      </w:r>
    </w:p>
    <w:p w14:paraId="0C6914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联系人：孙燕波</w:t>
      </w:r>
    </w:p>
    <w:p w14:paraId="364BC7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联系电话：010-85556048</w:t>
      </w:r>
    </w:p>
    <w:p w14:paraId="14374D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客户服务电话：95390</w:t>
      </w:r>
    </w:p>
    <w:p w14:paraId="28A3115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传真：010-85556088</w:t>
      </w:r>
    </w:p>
    <w:p w14:paraId="12DC10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网址：www.hrsec.com.cn</w:t>
      </w:r>
    </w:p>
    <w:p w14:paraId="1F6E90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113) 华泰证券</w:t>
      </w:r>
    </w:p>
    <w:p w14:paraId="6FBD3B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注册地址：南京市江东中路228号</w:t>
      </w:r>
    </w:p>
    <w:p w14:paraId="49B318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办公地址：南京市建邺区江东中路228号华泰证券广场</w:t>
      </w:r>
    </w:p>
    <w:p w14:paraId="76D1ED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法定代表人：周易</w:t>
      </w:r>
    </w:p>
    <w:p w14:paraId="6EA3BB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联系人：庞晓芸</w:t>
      </w:r>
    </w:p>
    <w:p w14:paraId="1A4DDD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联系电话：0755-82492193</w:t>
      </w:r>
    </w:p>
    <w:p w14:paraId="383CA6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客户服务电话：95597</w:t>
      </w:r>
    </w:p>
    <w:p w14:paraId="09CD93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传真：025-83387523</w:t>
      </w:r>
    </w:p>
    <w:p w14:paraId="2EB215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网址：www.htsc.com.cn</w:t>
      </w:r>
    </w:p>
    <w:p w14:paraId="00DEF8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114) 华西证券</w:t>
      </w:r>
    </w:p>
    <w:p w14:paraId="04F7EED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注册地址：四川省成都市高新区天府二街198号</w:t>
      </w:r>
    </w:p>
    <w:p w14:paraId="369201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办公地址：四川省成都市高新区天府二街198号华西证券大厦</w:t>
      </w:r>
    </w:p>
    <w:p w14:paraId="1A5FB3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法定代表人：杨炯洋</w:t>
      </w:r>
    </w:p>
    <w:p w14:paraId="647403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联系人：谢国梅</w:t>
      </w:r>
    </w:p>
    <w:p w14:paraId="51BD76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联系电话：010-58124967</w:t>
      </w:r>
    </w:p>
    <w:p w14:paraId="6C69ED5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客户服务电话：95584</w:t>
      </w:r>
    </w:p>
    <w:p w14:paraId="36C2E7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传真：028-86150040</w:t>
      </w:r>
    </w:p>
    <w:p w14:paraId="6E2B17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网址：www.hx168.com.cn</w:t>
      </w:r>
    </w:p>
    <w:p w14:paraId="064053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115) 华鑫证券</w:t>
      </w:r>
    </w:p>
    <w:p w14:paraId="6CC8AA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注册地址：深圳市福田区莲花街道福中社区深南大道2008号中国凤凰大厦1栋20C-1</w:t>
      </w:r>
    </w:p>
    <w:p w14:paraId="693968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办公地址：上海市徐汇区宛平南路8号</w:t>
      </w:r>
    </w:p>
    <w:p w14:paraId="5A7AD46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法定代表人：俞洋</w:t>
      </w:r>
    </w:p>
    <w:p w14:paraId="3533C6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联系人：杨莉娟</w:t>
      </w:r>
    </w:p>
    <w:p w14:paraId="1E557D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联系电话：021-54967552</w:t>
      </w:r>
    </w:p>
    <w:p w14:paraId="50B39C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客户服务电话：95323（全国）、400-109-9918（全国）、029-68918888（西安）</w:t>
      </w:r>
    </w:p>
    <w:p w14:paraId="158E86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传真：021-54967293</w:t>
      </w:r>
    </w:p>
    <w:p w14:paraId="17BDF9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网址：www.cfsc.com.cn</w:t>
      </w:r>
    </w:p>
    <w:p w14:paraId="6E2C14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116) 华信证券</w:t>
      </w:r>
    </w:p>
    <w:p w14:paraId="2C206DC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 xml:space="preserve">注册地址：上海浦东新区世纪大道100号环球金融中心9楼 </w:t>
      </w:r>
    </w:p>
    <w:p w14:paraId="731F7C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办公地址：上海市黄浦区南京西路399号明天广场23楼</w:t>
      </w:r>
    </w:p>
    <w:p w14:paraId="19F155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法定代表人：陈灿辉</w:t>
      </w:r>
    </w:p>
    <w:p w14:paraId="5A6E63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联系人：徐璐</w:t>
      </w:r>
    </w:p>
    <w:p w14:paraId="57F545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联系电话：021-63898952</w:t>
      </w:r>
    </w:p>
    <w:p w14:paraId="777B9C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客户服务电话：400-820-5999</w:t>
      </w:r>
    </w:p>
    <w:p w14:paraId="5C2920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传真：021-68776977转8952</w:t>
      </w:r>
    </w:p>
    <w:p w14:paraId="30D579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网址：www.shhxzq.com</w:t>
      </w:r>
    </w:p>
    <w:p w14:paraId="089D93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117) 江海证券</w:t>
      </w:r>
    </w:p>
    <w:p w14:paraId="2020BCF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注册地址：黑龙江省哈尔滨市香坊区赣水路56号</w:t>
      </w:r>
    </w:p>
    <w:p w14:paraId="22FD06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办公地址：黑龙江省哈尔滨市松北区创新三路833号</w:t>
      </w:r>
    </w:p>
    <w:p w14:paraId="5FDCEE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法定代表人：赵洪波</w:t>
      </w:r>
    </w:p>
    <w:p w14:paraId="39C685F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联系人：姜志伟</w:t>
      </w:r>
    </w:p>
    <w:p w14:paraId="100D16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联系电话：0451-87765732</w:t>
      </w:r>
    </w:p>
    <w:p w14:paraId="61248C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客户服务电话：400-666-2288</w:t>
      </w:r>
    </w:p>
    <w:p w14:paraId="5220BC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传真：0451-82337279</w:t>
      </w:r>
    </w:p>
    <w:p w14:paraId="4CE11E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网址：www.jhzq.com.cn</w:t>
      </w:r>
    </w:p>
    <w:p w14:paraId="735C58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118) 金元证券</w:t>
      </w:r>
    </w:p>
    <w:p w14:paraId="38BF59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注册地址：海口市南宝路36号证券大厦4楼</w:t>
      </w:r>
    </w:p>
    <w:p w14:paraId="1FE873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办公地址：深圳市深南大道4001号时代金融中心大厦17楼</w:t>
      </w:r>
    </w:p>
    <w:p w14:paraId="33961A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法定代表人：王作义</w:t>
      </w:r>
    </w:p>
    <w:p w14:paraId="208FD5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联系人：刘萍</w:t>
      </w:r>
    </w:p>
    <w:p w14:paraId="491018E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联系电话：0755-83025693</w:t>
      </w:r>
    </w:p>
    <w:p w14:paraId="099759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客户服务电话：95372</w:t>
      </w:r>
    </w:p>
    <w:p w14:paraId="0E5B68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传真：0755-83025625</w:t>
      </w:r>
    </w:p>
    <w:p w14:paraId="63C4EE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网址：www.jyzq.cn</w:t>
      </w:r>
    </w:p>
    <w:p w14:paraId="14FCF7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119) 九州证券</w:t>
      </w:r>
    </w:p>
    <w:p w14:paraId="47A7A4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注册地址：青海省西宁市南川工业园区创业路108号</w:t>
      </w:r>
    </w:p>
    <w:p w14:paraId="055436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办公地址：北京市朝阳区安立路30号仰山公园东一门2号楼</w:t>
      </w:r>
    </w:p>
    <w:p w14:paraId="0AC799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法定代表人：魏先锋</w:t>
      </w:r>
    </w:p>
    <w:p w14:paraId="2647C9F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联系人：张思思</w:t>
      </w:r>
    </w:p>
    <w:p w14:paraId="2B1ACED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联系电话：010-57672272</w:t>
      </w:r>
    </w:p>
    <w:p w14:paraId="3E7DA8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客户服务电话：95305</w:t>
      </w:r>
    </w:p>
    <w:p w14:paraId="75BB0D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传真：010-57672296</w:t>
      </w:r>
    </w:p>
    <w:p w14:paraId="240FCE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网址：www.jzsec.com</w:t>
      </w:r>
    </w:p>
    <w:p w14:paraId="0D6917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120) 开源证券</w:t>
      </w:r>
    </w:p>
    <w:p w14:paraId="13CA26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注册地址：陕西省西安市高新区锦业路1号都市之门B座5层</w:t>
      </w:r>
    </w:p>
    <w:p w14:paraId="4D32901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办公地址：陕西省西安市高新区锦业路1号都市之门B座5层</w:t>
      </w:r>
    </w:p>
    <w:p w14:paraId="27CF0C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法定代表人：李刚</w:t>
      </w:r>
    </w:p>
    <w:p w14:paraId="4D1A1A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联系人：袁伟涛</w:t>
      </w:r>
    </w:p>
    <w:p w14:paraId="7D6D50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联系电话：029-88365850</w:t>
      </w:r>
    </w:p>
    <w:p w14:paraId="65B4581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客户服务电话：400-860-8866或95325</w:t>
      </w:r>
    </w:p>
    <w:p w14:paraId="52A558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网址：www.kysec.cn</w:t>
      </w:r>
    </w:p>
    <w:p w14:paraId="2C5366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121) 联储证券</w:t>
      </w:r>
    </w:p>
    <w:p w14:paraId="1680FA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注册地址：广东省深圳市福田区福田街道岗厦社区深南大道南侧金地中心大厦9楼</w:t>
      </w:r>
    </w:p>
    <w:p w14:paraId="6D0CED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办公地址：上海市浦东新区陆家嘴环路333号金砖大厦8楼</w:t>
      </w:r>
    </w:p>
    <w:p w14:paraId="2403CE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法定代表人：吕春卫</w:t>
      </w:r>
    </w:p>
    <w:p w14:paraId="41193F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联系人：丁倩云</w:t>
      </w:r>
    </w:p>
    <w:p w14:paraId="00AFEB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联系电话：010-86499427</w:t>
      </w:r>
    </w:p>
    <w:p w14:paraId="77ECD75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客户服务电话：400-620-6868</w:t>
      </w:r>
    </w:p>
    <w:p w14:paraId="540E11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网址：www.lczq.com</w:t>
      </w:r>
    </w:p>
    <w:p w14:paraId="3AB8B8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122) 联讯证券</w:t>
      </w:r>
    </w:p>
    <w:p w14:paraId="5B7DFD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注册地址：惠州市江北东江三路55号广播电视新闻中心西面一层大堂和三、四层</w:t>
      </w:r>
    </w:p>
    <w:p w14:paraId="0B6099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办公地址：深圳市福田区深南中路2002号中广核大厦北楼10楼</w:t>
      </w:r>
    </w:p>
    <w:p w14:paraId="13FC509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法定代表人：严亦斌</w:t>
      </w:r>
    </w:p>
    <w:p w14:paraId="51AD64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联系人：彭莲</w:t>
      </w:r>
    </w:p>
    <w:p w14:paraId="040427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联系电话：0755-83331195</w:t>
      </w:r>
    </w:p>
    <w:p w14:paraId="2E755E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客户服务电话：95564</w:t>
      </w:r>
    </w:p>
    <w:p w14:paraId="67AD4F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网址：http://www.lxsec.com</w:t>
      </w:r>
    </w:p>
    <w:p w14:paraId="7ED0FA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123) 民生证券</w:t>
      </w:r>
    </w:p>
    <w:p w14:paraId="322823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注册地址：北京市东城区建国门内大街28号民生金融中心A座16层-18层</w:t>
      </w:r>
    </w:p>
    <w:p w14:paraId="48E0F5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办公地址：北京市东城区建国门内大街28号民生金融中心A座16-20层</w:t>
      </w:r>
    </w:p>
    <w:p w14:paraId="79393B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法定代表人：冯鹤年</w:t>
      </w:r>
    </w:p>
    <w:p w14:paraId="23B8F5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联系人：韩秀萍</w:t>
      </w:r>
    </w:p>
    <w:p w14:paraId="09AC46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联系电话：010-85127609</w:t>
      </w:r>
    </w:p>
    <w:p w14:paraId="3118245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客户服务电话：95376</w:t>
      </w:r>
    </w:p>
    <w:p w14:paraId="0636E0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网址：www.mszq.com</w:t>
      </w:r>
    </w:p>
    <w:p w14:paraId="0255C96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124) 南京证券</w:t>
      </w:r>
    </w:p>
    <w:p w14:paraId="301C40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注册地址：南京市江东中路389号</w:t>
      </w:r>
    </w:p>
    <w:p w14:paraId="46E7E3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办公地址：南京市江东中路389号</w:t>
      </w:r>
    </w:p>
    <w:p w14:paraId="490387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法定代表人：步国旬</w:t>
      </w:r>
    </w:p>
    <w:p w14:paraId="2775C6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联系人：王万君</w:t>
      </w:r>
    </w:p>
    <w:p w14:paraId="6C449F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联系电话：025-58519523</w:t>
      </w:r>
    </w:p>
    <w:p w14:paraId="1FB57D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客户服务电话：95386</w:t>
      </w:r>
    </w:p>
    <w:p w14:paraId="1097F6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传真：025-83369725</w:t>
      </w:r>
    </w:p>
    <w:p w14:paraId="30E922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网址：www.njzq.com.cn</w:t>
      </w:r>
    </w:p>
    <w:p w14:paraId="7AEF26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125) 平安证券</w:t>
      </w:r>
    </w:p>
    <w:p w14:paraId="43930B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注册地址：深圳市福田区益田路5033号平安金融中心61层-64层</w:t>
      </w:r>
    </w:p>
    <w:p w14:paraId="7B3F2E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办公地址：深圳市福田区金田路4036号荣超大厦16-20层</w:t>
      </w:r>
    </w:p>
    <w:p w14:paraId="41D8120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法定代表人：何之江</w:t>
      </w:r>
    </w:p>
    <w:p w14:paraId="19378E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联系人：周驰</w:t>
      </w:r>
    </w:p>
    <w:p w14:paraId="036A36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联系电话：021-38643230</w:t>
      </w:r>
    </w:p>
    <w:p w14:paraId="1CC545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客户服务电话：95511-8</w:t>
      </w:r>
    </w:p>
    <w:p w14:paraId="56FA5A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传真：021-58991896</w:t>
      </w:r>
    </w:p>
    <w:p w14:paraId="5D7989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网址：stock.pingan.com</w:t>
      </w:r>
    </w:p>
    <w:p w14:paraId="1A94C5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126) 瑞银证券</w:t>
      </w:r>
    </w:p>
    <w:p w14:paraId="586AD0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注册地址：北京市西城区金融大街7号英蓝国际金融中心12层、15层</w:t>
      </w:r>
    </w:p>
    <w:p w14:paraId="14D117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办公地址：北京市西城区金融大街7号英蓝国际金融中心12层、15层</w:t>
      </w:r>
    </w:p>
    <w:p w14:paraId="346E6B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法定代表人：钱于军</w:t>
      </w:r>
    </w:p>
    <w:p w14:paraId="0B0B9C9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联系人：谢丹</w:t>
      </w:r>
    </w:p>
    <w:p w14:paraId="578332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联系电话：0755-22158878</w:t>
      </w:r>
    </w:p>
    <w:p w14:paraId="5F3677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客户服务电话：400-887-8827</w:t>
      </w:r>
    </w:p>
    <w:p w14:paraId="47A2B3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传真：010-58328170</w:t>
      </w:r>
    </w:p>
    <w:p w14:paraId="47C78D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网址：https://www.ubs.com/ubssecurities</w:t>
      </w:r>
    </w:p>
    <w:p w14:paraId="4D7D70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127) 山西证券</w:t>
      </w:r>
    </w:p>
    <w:p w14:paraId="604ACB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注册地址：太原市府西街69号山西国际贸易中心东塔楼</w:t>
      </w:r>
    </w:p>
    <w:p w14:paraId="305B08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办公地址：太原市府西街69号山西国际贸易中心东塔楼</w:t>
      </w:r>
    </w:p>
    <w:p w14:paraId="2F5001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法定代表人：侯巍</w:t>
      </w:r>
    </w:p>
    <w:p w14:paraId="2B641E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联系人：郭熠</w:t>
      </w:r>
    </w:p>
    <w:p w14:paraId="3AF01C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联系电话：0351-8686659</w:t>
      </w:r>
    </w:p>
    <w:p w14:paraId="288A0E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客户服务电话：95573或400-666-1618</w:t>
      </w:r>
    </w:p>
    <w:p w14:paraId="536731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传真：0351-8686619</w:t>
      </w:r>
    </w:p>
    <w:p w14:paraId="38D78A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网址：www.i618.com.cn</w:t>
      </w:r>
    </w:p>
    <w:p w14:paraId="3FE779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128) 上海证券</w:t>
      </w:r>
    </w:p>
    <w:p w14:paraId="2E3D67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注册地址：上海市黄浦区四川中路213号7楼</w:t>
      </w:r>
    </w:p>
    <w:p w14:paraId="04BCEF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办公地址：上海市四川中路213号久事商务大厦7楼</w:t>
      </w:r>
    </w:p>
    <w:p w14:paraId="5F3005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法定代表人：李俊杰</w:t>
      </w:r>
    </w:p>
    <w:p w14:paraId="5041D2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联系人：邵珍珍</w:t>
      </w:r>
    </w:p>
    <w:p w14:paraId="082BC6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联系电话：021-53686888</w:t>
      </w:r>
    </w:p>
    <w:p w14:paraId="126A1F5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客户服务电话：4008-918-918</w:t>
      </w:r>
    </w:p>
    <w:p w14:paraId="0C424C5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传真：021-53686100、021-53686200</w:t>
      </w:r>
    </w:p>
    <w:p w14:paraId="667679D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网址：https://www.shzq.com/</w:t>
      </w:r>
    </w:p>
    <w:p w14:paraId="6A2E2D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129) 申万宏源西部证券</w:t>
      </w:r>
    </w:p>
    <w:p w14:paraId="0896C7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注册地址：新疆乌鲁木齐市高新区（新市区）北京南路358号大成国际大厦20楼2005室</w:t>
      </w:r>
    </w:p>
    <w:p w14:paraId="1B6014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办公地址：新疆乌鲁木齐市高新区（新市区）北京南路358号大成国际大厦20楼2005室</w:t>
      </w:r>
    </w:p>
    <w:p w14:paraId="50114B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法定代表人：李琦</w:t>
      </w:r>
    </w:p>
    <w:p w14:paraId="428E47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联系人：王怀春</w:t>
      </w:r>
    </w:p>
    <w:p w14:paraId="674CBF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联系电话：0991-2307105</w:t>
      </w:r>
    </w:p>
    <w:p w14:paraId="064EB5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客户服务电话：4008-000-562</w:t>
      </w:r>
    </w:p>
    <w:p w14:paraId="148A6A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传真：010-88085195</w:t>
      </w:r>
    </w:p>
    <w:p w14:paraId="1D33DFA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网址：www.hysec.com</w:t>
      </w:r>
    </w:p>
    <w:p w14:paraId="6A1906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130) 申万宏源证券</w:t>
      </w:r>
    </w:p>
    <w:p w14:paraId="5D0DEE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注册地址：上海市徐汇区长乐路989号45层</w:t>
      </w:r>
    </w:p>
    <w:p w14:paraId="7A79A5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办公地址：上海市徐汇区长乐路989号世纪商贸广场45层</w:t>
      </w:r>
    </w:p>
    <w:p w14:paraId="27DB7F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法定代表人：李梅</w:t>
      </w:r>
    </w:p>
    <w:p w14:paraId="2ABDB2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联系人：余敏</w:t>
      </w:r>
    </w:p>
    <w:p w14:paraId="4A6BB6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联系电话：021-33388252</w:t>
      </w:r>
    </w:p>
    <w:p w14:paraId="213DE0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客户服务电话：95523、4008895523</w:t>
      </w:r>
    </w:p>
    <w:p w14:paraId="5DEC75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传真：021-33388224</w:t>
      </w:r>
    </w:p>
    <w:p w14:paraId="53775A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网址：www.swhysc.com</w:t>
      </w:r>
    </w:p>
    <w:p w14:paraId="24D126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131) 世纪证券</w:t>
      </w:r>
    </w:p>
    <w:p w14:paraId="06B268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注册地址：深圳市福田区深南大道招商银行大厦40-42层</w:t>
      </w:r>
    </w:p>
    <w:p w14:paraId="0551CD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办公地址：深圳市福田区深南大道招商银行大厦40-42层</w:t>
      </w:r>
    </w:p>
    <w:p w14:paraId="2E4EF9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法定代表人：李强</w:t>
      </w:r>
    </w:p>
    <w:p w14:paraId="26CEDF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联系人：王雯</w:t>
      </w:r>
    </w:p>
    <w:p w14:paraId="696CEB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联系电话：0755-83199511</w:t>
      </w:r>
    </w:p>
    <w:p w14:paraId="12929B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客户服务电话：4008323000</w:t>
      </w:r>
    </w:p>
    <w:p w14:paraId="1D5186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网址：www.csco.com.cn</w:t>
      </w:r>
    </w:p>
    <w:p w14:paraId="5BB2EF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132) 首创证券</w:t>
      </w:r>
    </w:p>
    <w:p w14:paraId="7A94DF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注册地址：北京市西城区德胜门外大街115号德胜尚城E座</w:t>
      </w:r>
    </w:p>
    <w:p w14:paraId="3C497E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办公地址：北京市西城区德胜门外大街115号德胜尚城E座</w:t>
      </w:r>
    </w:p>
    <w:p w14:paraId="6A85CEA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法定代表人：毕劲松</w:t>
      </w:r>
    </w:p>
    <w:p w14:paraId="2A56EA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联系人：刘宇</w:t>
      </w:r>
    </w:p>
    <w:p w14:paraId="637077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联系电话：010-59366070  </w:t>
      </w:r>
    </w:p>
    <w:p w14:paraId="6C9B47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客户服务电话：400-620-0620</w:t>
      </w:r>
    </w:p>
    <w:p w14:paraId="1C114D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传真：010-59366055</w:t>
      </w:r>
    </w:p>
    <w:p w14:paraId="5EDF22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网址：http://www.sczq.com.cn/</w:t>
      </w:r>
    </w:p>
    <w:p w14:paraId="3148AF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133) 天风证券</w:t>
      </w:r>
    </w:p>
    <w:p w14:paraId="4C859F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注册地址：湖北省武汉市东湖新技术开发区关东园路2号高科大厦四楼</w:t>
      </w:r>
    </w:p>
    <w:p w14:paraId="3D507B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办公地址：湖北省武汉市武昌区中南路99号保利广场A座37楼</w:t>
      </w:r>
    </w:p>
    <w:p w14:paraId="53914E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法定代表人：余磊</w:t>
      </w:r>
    </w:p>
    <w:p w14:paraId="087A7B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联系人：程晓英</w:t>
      </w:r>
    </w:p>
    <w:p w14:paraId="5DDF9C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联系电话：027-87617017</w:t>
      </w:r>
    </w:p>
    <w:p w14:paraId="6685FE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客户服务电话：4008005000、95391</w:t>
      </w:r>
    </w:p>
    <w:p w14:paraId="3D7BABD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传真：027-87618863</w:t>
      </w:r>
    </w:p>
    <w:p w14:paraId="4C7B6B0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网址：http://www.tfzq.com/</w:t>
      </w:r>
    </w:p>
    <w:p w14:paraId="35C6FB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134) 万联证券</w:t>
      </w:r>
    </w:p>
    <w:p w14:paraId="2D9D3B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注册地址：广州市天河区珠江东路11号18、19楼全层</w:t>
      </w:r>
    </w:p>
    <w:p w14:paraId="0405D8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办公地址：广州市天河区珠江东路13号高德置地广场E栋12层</w:t>
      </w:r>
    </w:p>
    <w:p w14:paraId="6F5BCCB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法定代表人：罗钦城</w:t>
      </w:r>
    </w:p>
    <w:p w14:paraId="2FCAC1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联系人：甘蕾</w:t>
      </w:r>
    </w:p>
    <w:p w14:paraId="106018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联系电话：020-38286026</w:t>
      </w:r>
    </w:p>
    <w:p w14:paraId="5186CD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客户服务电话：95322</w:t>
      </w:r>
    </w:p>
    <w:p w14:paraId="3B7B76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传真：020-38286588</w:t>
      </w:r>
    </w:p>
    <w:p w14:paraId="0A7BC7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网址：www.wlzq.cn</w:t>
      </w:r>
    </w:p>
    <w:p w14:paraId="49A0B2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135) 西部证券</w:t>
      </w:r>
    </w:p>
    <w:p w14:paraId="34E2D8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注册地址：陕西省西安市新城区东新街319号8幢10000室</w:t>
      </w:r>
    </w:p>
    <w:p w14:paraId="7D91E6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办公地址：陕西省西安市新城区东新街319号8幢10000室</w:t>
      </w:r>
    </w:p>
    <w:p w14:paraId="613B40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法定代表人：徐朝晖</w:t>
      </w:r>
    </w:p>
    <w:p w14:paraId="392096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联系人：梁承华</w:t>
      </w:r>
    </w:p>
    <w:p w14:paraId="323BD7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联系电话：029-87211526</w:t>
      </w:r>
    </w:p>
    <w:p w14:paraId="3CC4E3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客户服务电话：95582</w:t>
      </w:r>
    </w:p>
    <w:p w14:paraId="685634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传真：029-87211478</w:t>
      </w:r>
    </w:p>
    <w:p w14:paraId="4E2053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网址：www.westsecu.com</w:t>
      </w:r>
    </w:p>
    <w:p w14:paraId="4931EDD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136) 西南证券</w:t>
      </w:r>
    </w:p>
    <w:p w14:paraId="1B7E0B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注册地址：重庆市江北区桥北苑8号</w:t>
      </w:r>
    </w:p>
    <w:p w14:paraId="4D90CD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办公地址：重庆市江北区桥北苑8号西南证券大厦</w:t>
      </w:r>
    </w:p>
    <w:p w14:paraId="472E08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法定代表人：廖庆轩</w:t>
      </w:r>
    </w:p>
    <w:p w14:paraId="4C0C2D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联系人：周青</w:t>
      </w:r>
    </w:p>
    <w:p w14:paraId="0A3D14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联系电话：023-63786633</w:t>
      </w:r>
    </w:p>
    <w:p w14:paraId="643630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客户服务电话：4008096096或95355</w:t>
      </w:r>
    </w:p>
    <w:p w14:paraId="0DE219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传真：023-63786212</w:t>
      </w:r>
    </w:p>
    <w:p w14:paraId="35F207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网址：www.swsc.com.cn</w:t>
      </w:r>
    </w:p>
    <w:p w14:paraId="2112BF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137) 湘财证券</w:t>
      </w:r>
    </w:p>
    <w:p w14:paraId="673B1E1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注册地址：湖南省长沙市天心区湘府中路198号新南城商务中心A栋11楼</w:t>
      </w:r>
    </w:p>
    <w:p w14:paraId="61FF49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办公地址：湖南省长沙市天心区湘府中路198号新南城商务中心A栋11楼</w:t>
      </w:r>
    </w:p>
    <w:p w14:paraId="19B497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法定代表人：孙永祥</w:t>
      </w:r>
    </w:p>
    <w:p w14:paraId="402CE8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联系人：李欣</w:t>
      </w:r>
    </w:p>
    <w:p w14:paraId="15E13A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联系电话：021-38784580-8918</w:t>
      </w:r>
    </w:p>
    <w:p w14:paraId="7C8DB7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客户服务电话：95351</w:t>
      </w:r>
    </w:p>
    <w:p w14:paraId="63B778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传真：021-68865680</w:t>
      </w:r>
    </w:p>
    <w:p w14:paraId="1096CF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网址：www.xcsc.com</w:t>
      </w:r>
    </w:p>
    <w:p w14:paraId="0493AA9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138) 新时代证券</w:t>
      </w:r>
    </w:p>
    <w:p w14:paraId="3003C7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注册地址：北京市海淀区北三环西路99号院1号楼15层1501</w:t>
      </w:r>
    </w:p>
    <w:p w14:paraId="1C1AD3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办公地址：北京市海淀区北三环西路99号院1号楼15层1501</w:t>
      </w:r>
    </w:p>
    <w:p w14:paraId="4C3D2C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法定代表人：叶顺德</w:t>
      </w:r>
    </w:p>
    <w:p w14:paraId="61F35F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联系人：田芳芳</w:t>
      </w:r>
    </w:p>
    <w:p w14:paraId="5096C1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联系电话：010-83561146</w:t>
      </w:r>
    </w:p>
    <w:p w14:paraId="427BAD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客户服务电话：95399</w:t>
      </w:r>
    </w:p>
    <w:p w14:paraId="1DBE24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网址：www.xsdzq.cn</w:t>
      </w:r>
    </w:p>
    <w:p w14:paraId="229DAF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139) 信达证券</w:t>
      </w:r>
    </w:p>
    <w:p w14:paraId="166E97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注册地址：北京市西城区闹市口大街9号院1号楼</w:t>
      </w:r>
    </w:p>
    <w:p w14:paraId="2BB13A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办公地址：北京市西城区闹市口大街9号院1号楼</w:t>
      </w:r>
    </w:p>
    <w:p w14:paraId="492D76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法定代表人：张志刚</w:t>
      </w:r>
    </w:p>
    <w:p w14:paraId="701F4A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联系人：尹旭航</w:t>
      </w:r>
    </w:p>
    <w:p w14:paraId="7B8464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联系电话：010-63081000</w:t>
      </w:r>
    </w:p>
    <w:p w14:paraId="211507B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客户服务电话：95321</w:t>
      </w:r>
    </w:p>
    <w:p w14:paraId="3ED6F81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传真：010-63080978</w:t>
      </w:r>
    </w:p>
    <w:p w14:paraId="57F84B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网址：www.cindasc.com</w:t>
      </w:r>
    </w:p>
    <w:p w14:paraId="6B7CAE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140) 兴业证券</w:t>
      </w:r>
    </w:p>
    <w:p w14:paraId="2930DF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注册地址：福州市湖东路268号</w:t>
      </w:r>
    </w:p>
    <w:p w14:paraId="5309CE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办公地址：上海浦东新区长柳路36号兴业证券大厦20楼</w:t>
      </w:r>
    </w:p>
    <w:p w14:paraId="3A40DF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法定代表人：杨华辉</w:t>
      </w:r>
    </w:p>
    <w:p w14:paraId="65CECC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联系人：乔琳雪</w:t>
      </w:r>
    </w:p>
    <w:p w14:paraId="498E9F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联系电话：021-38565547</w:t>
      </w:r>
    </w:p>
    <w:p w14:paraId="7F77A0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客户服务电话：95562</w:t>
      </w:r>
    </w:p>
    <w:p w14:paraId="2B50F5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网址：www.xyzq.com.cn</w:t>
      </w:r>
    </w:p>
    <w:p w14:paraId="5BF242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141) 银河证券</w:t>
      </w:r>
    </w:p>
    <w:p w14:paraId="77DE41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注册地址：北京市西城区金融大街35号2-6层</w:t>
      </w:r>
    </w:p>
    <w:p w14:paraId="2493E5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办公地址：北京市西城区金融大街35号国际企业大厦C座</w:t>
      </w:r>
    </w:p>
    <w:p w14:paraId="58CD00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法定代表人：陈共炎</w:t>
      </w:r>
    </w:p>
    <w:p w14:paraId="4B96AE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联系人：辛国政</w:t>
      </w:r>
    </w:p>
    <w:p w14:paraId="6EC0316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联系电话：010-83574507</w:t>
      </w:r>
    </w:p>
    <w:p w14:paraId="5E3313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客户服务电话：4008-888-888或95551</w:t>
      </w:r>
    </w:p>
    <w:p w14:paraId="688C91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传真：010-66568532</w:t>
      </w:r>
    </w:p>
    <w:p w14:paraId="73C3DF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网址：www.chinastock.com.cn</w:t>
      </w:r>
    </w:p>
    <w:p w14:paraId="3C6383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142) 招商证券</w:t>
      </w:r>
    </w:p>
    <w:p w14:paraId="50B211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注册地址：深圳市福田区福田街道福华一路111号</w:t>
      </w:r>
    </w:p>
    <w:p w14:paraId="5A522E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办公地址：深圳市福田区福田街道福华一路111号</w:t>
      </w:r>
    </w:p>
    <w:p w14:paraId="1DCAEF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法定代表人：霍达</w:t>
      </w:r>
    </w:p>
    <w:p w14:paraId="0D59738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联系人：黄婵君</w:t>
      </w:r>
    </w:p>
    <w:p w14:paraId="3BB2A8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联系电话：0755-82943666</w:t>
      </w:r>
    </w:p>
    <w:p w14:paraId="4FF49D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客户服务电话：95565、400-8888-111</w:t>
      </w:r>
    </w:p>
    <w:p w14:paraId="765344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传真：0755-82943636</w:t>
      </w:r>
    </w:p>
    <w:p w14:paraId="738460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网址：www.newone.com.cn</w:t>
      </w:r>
    </w:p>
    <w:p w14:paraId="387975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143) 浙商证券</w:t>
      </w:r>
    </w:p>
    <w:p w14:paraId="26A5BB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注册地址：浙江省杭州市江干区五星路201号</w:t>
      </w:r>
    </w:p>
    <w:p w14:paraId="3F1BFA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办公地址：浙江省杭州市江干区五星路201号浙商证券大楼8楼</w:t>
      </w:r>
    </w:p>
    <w:p w14:paraId="2F6B0F5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法定代表人：吴承根</w:t>
      </w:r>
    </w:p>
    <w:p w14:paraId="393750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联系人：高扬</w:t>
      </w:r>
    </w:p>
    <w:p w14:paraId="1A1AC9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联系电话：057187902974</w:t>
      </w:r>
    </w:p>
    <w:p w14:paraId="10A0EE8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客户服务电话：95345</w:t>
      </w:r>
    </w:p>
    <w:p w14:paraId="08EB07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传真：0571-87901913</w:t>
      </w:r>
    </w:p>
    <w:p w14:paraId="3B7E75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网址：www.stocke.com.cn</w:t>
      </w:r>
    </w:p>
    <w:p w14:paraId="7D6046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144) 中航证券</w:t>
      </w:r>
    </w:p>
    <w:p w14:paraId="717EBD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注册地址：江西省南昌市红谷滩新区红谷中大道1619号南昌国际金融大厦A栋41层</w:t>
      </w:r>
    </w:p>
    <w:p w14:paraId="263AA4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办公地址：江西省南昌市红谷滩新区红谷中大道1619号南昌国际金融大厦A栋41层</w:t>
      </w:r>
    </w:p>
    <w:p w14:paraId="32CBCA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法定代表人：王晓峰</w:t>
      </w:r>
    </w:p>
    <w:p w14:paraId="4F255C6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联系人：王紫雯</w:t>
      </w:r>
    </w:p>
    <w:p w14:paraId="6757DB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联系电话：15611538682</w:t>
      </w:r>
    </w:p>
    <w:p w14:paraId="3089BA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客户服务电话：95335或400-88-95335</w:t>
      </w:r>
    </w:p>
    <w:p w14:paraId="2ED486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传真：010-59562637 </w:t>
      </w:r>
    </w:p>
    <w:p w14:paraId="2A3651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网址：www.avicsec.com</w:t>
      </w:r>
    </w:p>
    <w:p w14:paraId="00F2BA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145) 中金公司</w:t>
      </w:r>
    </w:p>
    <w:p w14:paraId="7AE04D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注册地址：北京市朝阳区建国门外大街1号国贸大厦2座27层及28层</w:t>
      </w:r>
    </w:p>
    <w:p w14:paraId="0A153A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办公地址：北京市朝阳区建国门外大街1号国贸大厦2座27层及28层</w:t>
      </w:r>
    </w:p>
    <w:p w14:paraId="6B6265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法定代表人：毕明建</w:t>
      </w:r>
    </w:p>
    <w:p w14:paraId="38DE29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联系人：杨涵宇</w:t>
      </w:r>
    </w:p>
    <w:p w14:paraId="3DDDF5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联系电话：010-65051166</w:t>
      </w:r>
    </w:p>
    <w:p w14:paraId="071CD6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客户服务电话：4009101166</w:t>
      </w:r>
    </w:p>
    <w:p w14:paraId="785BC5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网址：www.cicc.com.cn</w:t>
      </w:r>
    </w:p>
    <w:p w14:paraId="73BB7E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146) 中山证券</w:t>
      </w:r>
    </w:p>
    <w:p w14:paraId="7AE26A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注册地址：深圳市南山区创业路1777号海信南方大厦21、22层</w:t>
      </w:r>
    </w:p>
    <w:p w14:paraId="5B1388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办公地址：深圳市南山区创业路1777号海信南方大厦21、22层</w:t>
      </w:r>
    </w:p>
    <w:p w14:paraId="17570A0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法定代表人：林炳城</w:t>
      </w:r>
    </w:p>
    <w:p w14:paraId="012793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联系人：罗艺琳</w:t>
      </w:r>
    </w:p>
    <w:p w14:paraId="665030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电话：0755-82943755</w:t>
      </w:r>
    </w:p>
    <w:p w14:paraId="2D4FCF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传真：0755-82960582</w:t>
      </w:r>
    </w:p>
    <w:p w14:paraId="69CE5A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客户服务电话：95329</w:t>
      </w:r>
    </w:p>
    <w:p w14:paraId="2C64B7A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网址：www.zszq.com</w:t>
      </w:r>
    </w:p>
    <w:p w14:paraId="2EE71B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147) 中泰证券</w:t>
      </w:r>
    </w:p>
    <w:p w14:paraId="73242F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注册地址：济南市市中区经七路86号</w:t>
      </w:r>
    </w:p>
    <w:p w14:paraId="4E4F2D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办公地址：山东省济南市经七路86号</w:t>
      </w:r>
    </w:p>
    <w:p w14:paraId="4E88CD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法定代表人：李玮</w:t>
      </w:r>
    </w:p>
    <w:p w14:paraId="7145E6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联系人：许曼华</w:t>
      </w:r>
    </w:p>
    <w:p w14:paraId="219709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联系电话：021-20315290</w:t>
      </w:r>
    </w:p>
    <w:p w14:paraId="3A4864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客户服务电话：95538</w:t>
      </w:r>
    </w:p>
    <w:p w14:paraId="0644A28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传真：0531-68889095</w:t>
      </w:r>
    </w:p>
    <w:p w14:paraId="121CAE1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网址：www.zts.com.cn</w:t>
      </w:r>
    </w:p>
    <w:p w14:paraId="714FDB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148) 中天证券</w:t>
      </w:r>
    </w:p>
    <w:p w14:paraId="1FAD8F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注册地址：辽宁省沈阳市和平区光荣街23甲</w:t>
      </w:r>
    </w:p>
    <w:p w14:paraId="605EFB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办公地址：辽宁省沈阳市和平区光荣街23甲</w:t>
      </w:r>
    </w:p>
    <w:p w14:paraId="36E518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法定代表人：马功勋</w:t>
      </w:r>
    </w:p>
    <w:p w14:paraId="0DF377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联系人：李泓灏</w:t>
      </w:r>
    </w:p>
    <w:p w14:paraId="5036D6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联系电话：024-23255256</w:t>
      </w:r>
    </w:p>
    <w:p w14:paraId="62D72F1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客户服务电话：024-95346</w:t>
      </w:r>
    </w:p>
    <w:p w14:paraId="7435BF8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传真：024-23255606</w:t>
      </w:r>
    </w:p>
    <w:p w14:paraId="4D0146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网址：www.iztzq.com</w:t>
      </w:r>
    </w:p>
    <w:p w14:paraId="44F7C0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149) 中投证券</w:t>
      </w:r>
    </w:p>
    <w:p w14:paraId="6F9567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注册地址：深圳市福田区益田路与福中路交界处荣超商务中心A栋第18-21层及第04层01.02.03.05.11.12.13.15.16.18.19.20.21.22.23单元</w:t>
      </w:r>
    </w:p>
    <w:p w14:paraId="51AAC7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办公地址：深圳福田区益田路6003号荣超商务中心A座4层、18-21层</w:t>
      </w:r>
    </w:p>
    <w:p w14:paraId="1FA42C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法定代表人：高涛</w:t>
      </w:r>
    </w:p>
    <w:p w14:paraId="785D22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联系人：万玉琳</w:t>
      </w:r>
    </w:p>
    <w:p w14:paraId="27F6A42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联系电话：0755-82026907</w:t>
      </w:r>
    </w:p>
    <w:p w14:paraId="3C0500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客户服务电话：95532</w:t>
      </w:r>
    </w:p>
    <w:p w14:paraId="26E2CB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网址：www.china-invs.cn</w:t>
      </w:r>
    </w:p>
    <w:p w14:paraId="659876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150) 中信建投证券</w:t>
      </w:r>
    </w:p>
    <w:p w14:paraId="2514615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注册地址：北京市朝阳区安立路66号4号楼</w:t>
      </w:r>
    </w:p>
    <w:p w14:paraId="19E604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办公地址：北京市朝阳门内大街188号</w:t>
      </w:r>
    </w:p>
    <w:p w14:paraId="285770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法定代表人：王常青</w:t>
      </w:r>
    </w:p>
    <w:p w14:paraId="3D81FE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联系人：权唐</w:t>
      </w:r>
    </w:p>
    <w:p w14:paraId="3EFE6E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联系电话：010－85130588 </w:t>
      </w:r>
    </w:p>
    <w:p w14:paraId="41E43D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客户服务电话：95587或4008-888-108</w:t>
      </w:r>
    </w:p>
    <w:p w14:paraId="6C17C0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 xml:space="preserve">网址：http://www.csc108.com/ </w:t>
      </w:r>
    </w:p>
    <w:p w14:paraId="66438AE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151) 中信证券</w:t>
      </w:r>
    </w:p>
    <w:p w14:paraId="4834FF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注册地址：广东省深圳市福田区中心三路8号卓越时代广场（二期）北座</w:t>
      </w:r>
    </w:p>
    <w:p w14:paraId="344689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办公地址：北京市朝阳区亮马桥路48号中信证券大厦</w:t>
      </w:r>
    </w:p>
    <w:p w14:paraId="1102DF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法定代表人：张佑君</w:t>
      </w:r>
    </w:p>
    <w:p w14:paraId="363C80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联系人：王一通 </w:t>
      </w:r>
    </w:p>
    <w:p w14:paraId="4A1CB8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联系电话：010-60838888</w:t>
      </w:r>
    </w:p>
    <w:p w14:paraId="4AE4BC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客户服务电话：95548</w:t>
      </w:r>
    </w:p>
    <w:p w14:paraId="4413FE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传真：010-60836029</w:t>
      </w:r>
    </w:p>
    <w:p w14:paraId="4E19A9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网址：www.cs.ecitic.com</w:t>
      </w:r>
    </w:p>
    <w:p w14:paraId="498BC0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152) 中信证券（山东）</w:t>
      </w:r>
    </w:p>
    <w:p w14:paraId="115477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注册地址：青岛市崂山区深圳路222号1号楼2001</w:t>
      </w:r>
    </w:p>
    <w:p w14:paraId="70890B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办公地址：青岛市市南区东海西路28号龙翔广场东座5层</w:t>
      </w:r>
    </w:p>
    <w:p w14:paraId="549574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法定代表人：姜晓林</w:t>
      </w:r>
    </w:p>
    <w:p w14:paraId="04A387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联系人：焦刚</w:t>
      </w:r>
    </w:p>
    <w:p w14:paraId="10903A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联系电话：0531-89606166</w:t>
      </w:r>
    </w:p>
    <w:p w14:paraId="080E93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客户服务电话：95548</w:t>
      </w:r>
    </w:p>
    <w:p w14:paraId="323307D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传真：0532-85022605</w:t>
      </w:r>
    </w:p>
    <w:p w14:paraId="6AC183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网址：http://sd.citics.com/</w:t>
      </w:r>
    </w:p>
    <w:p w14:paraId="1CDBB3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153) 中银国际证券</w:t>
      </w:r>
    </w:p>
    <w:p w14:paraId="338CC8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注册地址：上海市浦东新区银城中路200号中银大厦39层</w:t>
      </w:r>
    </w:p>
    <w:p w14:paraId="3AF70C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办公地址：上海市浦东新区银城中路200号中银大厦39-40层</w:t>
      </w:r>
    </w:p>
    <w:p w14:paraId="329599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法定代表人：宁敏</w:t>
      </w:r>
    </w:p>
    <w:p w14:paraId="3026E5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联系人：王炜哲</w:t>
      </w:r>
    </w:p>
    <w:p w14:paraId="5F35D6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客户服务电话：400-620-8888</w:t>
      </w:r>
    </w:p>
    <w:p w14:paraId="2F8582B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传真：021-50372474</w:t>
      </w:r>
    </w:p>
    <w:p w14:paraId="2FF4D2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网址：www.bocichina.com</w:t>
      </w:r>
    </w:p>
    <w:p w14:paraId="5E458D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154) 中原证券</w:t>
      </w:r>
    </w:p>
    <w:p w14:paraId="2D46D6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注册地址：郑州市郑东新区商务外环路10号</w:t>
      </w:r>
    </w:p>
    <w:p w14:paraId="11B26C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办公地址：河南省郑州市郑东新区商务外环路10号中原广发金融大厦19楼</w:t>
      </w:r>
    </w:p>
    <w:p w14:paraId="04EF79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法定代表人：菅明军</w:t>
      </w:r>
    </w:p>
    <w:p w14:paraId="721676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联系人：程月艳  李盼盼 党静</w:t>
      </w:r>
    </w:p>
    <w:p w14:paraId="62B9DA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联系电话：0371-69099882</w:t>
      </w:r>
    </w:p>
    <w:p w14:paraId="0EF309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客户服务电话：95377</w:t>
      </w:r>
    </w:p>
    <w:p w14:paraId="1CC4F1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传真：0371-65585899</w:t>
      </w:r>
    </w:p>
    <w:p w14:paraId="4A70B1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网址：www.ccnew.com</w:t>
      </w:r>
    </w:p>
    <w:p w14:paraId="605885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155) 百度百盈</w:t>
      </w:r>
    </w:p>
    <w:p w14:paraId="3F0395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注册地址：北京市海淀区上地十街10号1幢1层101</w:t>
      </w:r>
    </w:p>
    <w:p w14:paraId="078DB5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办公地址：北京市海淀区西北旺东路10号院西区4号楼</w:t>
      </w:r>
    </w:p>
    <w:p w14:paraId="6287B9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法定代表人：张旭阳</w:t>
      </w:r>
    </w:p>
    <w:p w14:paraId="0BF696F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联系人：孙博超</w:t>
      </w:r>
    </w:p>
    <w:p w14:paraId="0E0A78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联系电话：010-59403028</w:t>
      </w:r>
    </w:p>
    <w:p w14:paraId="42B1D04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客户服务电话：95055-4</w:t>
      </w:r>
    </w:p>
    <w:p w14:paraId="3A913EB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网址：www.baiyingfund.com</w:t>
      </w:r>
    </w:p>
    <w:p w14:paraId="7120C2E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156) 长量基金</w:t>
      </w:r>
    </w:p>
    <w:p w14:paraId="10E22D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注册地址：上海市浦东新区高翔路526号2幢220室</w:t>
      </w:r>
    </w:p>
    <w:p w14:paraId="5005C9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办公地址：上海市浦东新区东方路1267号陆家嘴金融服务广场二期11层</w:t>
      </w:r>
    </w:p>
    <w:p w14:paraId="091034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法定代表人：张跃伟</w:t>
      </w:r>
    </w:p>
    <w:p w14:paraId="4DB630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联系人：党敏</w:t>
      </w:r>
    </w:p>
    <w:p w14:paraId="617EC2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联系电话：021-20691935</w:t>
      </w:r>
    </w:p>
    <w:p w14:paraId="56EDAF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客户服务电话：400-820-2899</w:t>
      </w:r>
    </w:p>
    <w:p w14:paraId="778382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传真：021-20691861</w:t>
      </w:r>
    </w:p>
    <w:p w14:paraId="0B445C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网址：www.erichfund.com</w:t>
      </w:r>
    </w:p>
    <w:p w14:paraId="58A916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157) 朝阳永续</w:t>
      </w:r>
    </w:p>
    <w:p w14:paraId="69C8EB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注册地址：浦东新区上丰路977号1幢B座812室</w:t>
      </w:r>
    </w:p>
    <w:p w14:paraId="5BF9A6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办公地址：上海市浦东新区碧波路690号4号楼2楼</w:t>
      </w:r>
    </w:p>
    <w:p w14:paraId="137CF40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法人代表：廖冰</w:t>
      </w:r>
    </w:p>
    <w:p w14:paraId="3BAB54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联系人：陆纪青</w:t>
      </w:r>
    </w:p>
    <w:p w14:paraId="36C5C7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联系电话：021-80234888-6813</w:t>
      </w:r>
    </w:p>
    <w:p w14:paraId="5C750F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客户服务电话：400-699-1888</w:t>
      </w:r>
    </w:p>
    <w:p w14:paraId="11DFE1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网址：www.998fund.com</w:t>
      </w:r>
    </w:p>
    <w:p w14:paraId="54D5740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158) 创金启富</w:t>
      </w:r>
    </w:p>
    <w:p w14:paraId="1BD199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注册地址：北京市西城区白纸坊东街2号院6号楼712室</w:t>
      </w:r>
    </w:p>
    <w:p w14:paraId="5308CB9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办公地址：北京市西城区白纸坊东街2号院6号楼712室</w:t>
      </w:r>
    </w:p>
    <w:p w14:paraId="13782A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法定代表人：梁蓉</w:t>
      </w:r>
    </w:p>
    <w:p w14:paraId="0400F3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联系人：李慧慧</w:t>
      </w:r>
    </w:p>
    <w:p w14:paraId="339646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联系电话：010-66154828-8047</w:t>
      </w:r>
    </w:p>
    <w:p w14:paraId="271507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客户服务电话：400-6262-818</w:t>
      </w:r>
    </w:p>
    <w:p w14:paraId="6CD013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传真：010-63583991</w:t>
      </w:r>
    </w:p>
    <w:p w14:paraId="058CD1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网址：www.5irich.com</w:t>
      </w:r>
    </w:p>
    <w:p w14:paraId="0641FA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159) 大智慧基金</w:t>
      </w:r>
    </w:p>
    <w:p w14:paraId="2C4608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注册地址：中国（上海）自由贸易试验区杨高南路428号1号楼1102单元</w:t>
      </w:r>
    </w:p>
    <w:p w14:paraId="15CCCB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办公地址：中国（上海）自由贸易试验区杨高南路428号1号楼1102单元</w:t>
      </w:r>
    </w:p>
    <w:p w14:paraId="6CAED4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法定代表人：申健</w:t>
      </w:r>
    </w:p>
    <w:p w14:paraId="0A12DAF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联系人：张蜓</w:t>
      </w:r>
    </w:p>
    <w:p w14:paraId="10665B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联系电话：021-20219988-35374</w:t>
      </w:r>
    </w:p>
    <w:p w14:paraId="41CEDC9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客户服务电话：021-20292031</w:t>
      </w:r>
    </w:p>
    <w:p w14:paraId="37F22F5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传真：021-20219923</w:t>
      </w:r>
    </w:p>
    <w:p w14:paraId="610F72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网址：https://www.wg.com.cn/</w:t>
      </w:r>
    </w:p>
    <w:p w14:paraId="28954F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160) 蛋卷基金</w:t>
      </w:r>
    </w:p>
    <w:p w14:paraId="03244C1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注册地址：北京市朝阳区阜通东大街1号院6号楼2单元21层222507</w:t>
      </w:r>
    </w:p>
    <w:p w14:paraId="2287BA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办公地址：北京市朝阳区阜通东大街1号院6号楼2单元21层222507</w:t>
      </w:r>
    </w:p>
    <w:p w14:paraId="4BFEA7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法定代表人：钟斐斐</w:t>
      </w:r>
    </w:p>
    <w:p w14:paraId="0362E44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联系人：侯芳芳</w:t>
      </w:r>
    </w:p>
    <w:p w14:paraId="03DBF0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联系电话：010-61840688</w:t>
      </w:r>
    </w:p>
    <w:p w14:paraId="27A16D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客户服务电话：4001599288</w:t>
      </w:r>
    </w:p>
    <w:p w14:paraId="76EE58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网址：https://danjuanapp.com</w:t>
      </w:r>
    </w:p>
    <w:p w14:paraId="30D8BC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161) 鼎信汇金</w:t>
      </w:r>
    </w:p>
    <w:p w14:paraId="05C725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注册地址：北京市海淀区太月园3号楼5层521室</w:t>
      </w:r>
    </w:p>
    <w:p w14:paraId="43E9032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办公地址：北京市海淀区太月园3号楼5层521室</w:t>
      </w:r>
    </w:p>
    <w:p w14:paraId="5D2B2C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法定代表人：齐凌峰</w:t>
      </w:r>
    </w:p>
    <w:p w14:paraId="5C51B7E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联系人：阮志凌</w:t>
      </w:r>
    </w:p>
    <w:p w14:paraId="460954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联系电话：010-82050520</w:t>
      </w:r>
    </w:p>
    <w:p w14:paraId="6EFA25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客户服务电话：400-886-3311</w:t>
      </w:r>
    </w:p>
    <w:p w14:paraId="0D7DC2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传真：010-82086110</w:t>
      </w:r>
    </w:p>
    <w:p w14:paraId="2CA011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网址：www.9ifund.com</w:t>
      </w:r>
    </w:p>
    <w:p w14:paraId="13DA76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162) 泛华普益</w:t>
      </w:r>
    </w:p>
    <w:p w14:paraId="3EF262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注册地址：四川省成都市成华区建设路9号高地中心1101室</w:t>
      </w:r>
    </w:p>
    <w:p w14:paraId="73B976C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办公地址：四川省成都市锦江区东大街99号平安金融中心1501室</w:t>
      </w:r>
    </w:p>
    <w:p w14:paraId="2D0FA0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法定代表人：于海锋</w:t>
      </w:r>
    </w:p>
    <w:p w14:paraId="4B89EB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联系人：陈金红</w:t>
      </w:r>
    </w:p>
    <w:p w14:paraId="052739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联系电话：028-86758820-803</w:t>
      </w:r>
    </w:p>
    <w:p w14:paraId="4CD079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客户服务电话：400-020-0606</w:t>
      </w:r>
    </w:p>
    <w:p w14:paraId="74C79B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网址：www.puyifund.com</w:t>
      </w:r>
    </w:p>
    <w:p w14:paraId="2896505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163) 富济基金</w:t>
      </w:r>
    </w:p>
    <w:p w14:paraId="2996263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注册地址：深圳市福田区福田街道金田路中洲大厦35层01B、02、03、04单位</w:t>
      </w:r>
    </w:p>
    <w:p w14:paraId="00445C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办公地址：深圳市福田区福田街道金田路中洲大厦35层01B、02、03、04单位</w:t>
      </w:r>
    </w:p>
    <w:p w14:paraId="59A247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法定代表人：刘鹏宇</w:t>
      </w:r>
    </w:p>
    <w:p w14:paraId="41A7AA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联系人：刘勇</w:t>
      </w:r>
    </w:p>
    <w:p w14:paraId="585633D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联系电话：0755-83999907-8814</w:t>
      </w:r>
    </w:p>
    <w:p w14:paraId="7E0EEFA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客户服务电话：0755-83999907</w:t>
      </w:r>
    </w:p>
    <w:p w14:paraId="1E0DD1B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传真：0755-83999926</w:t>
      </w:r>
    </w:p>
    <w:p w14:paraId="1333E5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网址：www.fujifund.cn</w:t>
      </w:r>
    </w:p>
    <w:p w14:paraId="49096E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164) 海银基金</w:t>
      </w:r>
    </w:p>
    <w:p w14:paraId="09D37D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注册地址：中国（上海）自由贸易试验区银城中路8号402室</w:t>
      </w:r>
    </w:p>
    <w:p w14:paraId="11862F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办公地址：上海市浦东新区银城中路8号海银金融中心4楼</w:t>
      </w:r>
    </w:p>
    <w:p w14:paraId="63DCD2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法定代表人：惠晓川</w:t>
      </w:r>
    </w:p>
    <w:p w14:paraId="297DC0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联系人：毛林</w:t>
      </w:r>
    </w:p>
    <w:p w14:paraId="585D1B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联系电话：021-80133597</w:t>
      </w:r>
    </w:p>
    <w:p w14:paraId="06F409D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客户服务电话：400-808-1016</w:t>
      </w:r>
    </w:p>
    <w:p w14:paraId="5B2939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传真：021-80133413</w:t>
      </w:r>
    </w:p>
    <w:p w14:paraId="577D41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网址：www.fundhaiyin.com</w:t>
      </w:r>
    </w:p>
    <w:p w14:paraId="7B370C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165) 好买基金</w:t>
      </w:r>
    </w:p>
    <w:p w14:paraId="09D878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注册地址：上海市虹口区欧阳路196号26号楼2楼41号</w:t>
      </w:r>
    </w:p>
    <w:p w14:paraId="509650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办公地址：上海市浦东南路1118号鄂尔多斯国际大厦903～906室</w:t>
      </w:r>
    </w:p>
    <w:p w14:paraId="318ED8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法定代表人：杨文斌</w:t>
      </w:r>
    </w:p>
    <w:p w14:paraId="5003D8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联系人：张茹</w:t>
      </w:r>
    </w:p>
    <w:p w14:paraId="3E945A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联系电话：021-20613600</w:t>
      </w:r>
    </w:p>
    <w:p w14:paraId="5C6836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客户服务电话：400-700-9665</w:t>
      </w:r>
    </w:p>
    <w:p w14:paraId="24F082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传真：021-68596916</w:t>
      </w:r>
    </w:p>
    <w:p w14:paraId="39D1EA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网址：www.ehowbuy.com</w:t>
      </w:r>
    </w:p>
    <w:p w14:paraId="452417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166) 和讯信息</w:t>
      </w:r>
    </w:p>
    <w:p w14:paraId="14AB6B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注册地址：北京市朝阳区朝外大街22号1002室</w:t>
      </w:r>
    </w:p>
    <w:p w14:paraId="0F3CA3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办公地址：北京市朝阳区朝外大街22号泛利大厦10层</w:t>
      </w:r>
    </w:p>
    <w:p w14:paraId="245657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法定代表人：王莉</w:t>
      </w:r>
    </w:p>
    <w:p w14:paraId="1F7701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联系人：陈慧慧</w:t>
      </w:r>
    </w:p>
    <w:p w14:paraId="337F6C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联系电话：010-85657353</w:t>
      </w:r>
    </w:p>
    <w:p w14:paraId="3A5FF4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客户服务电话：400-920-0022</w:t>
      </w:r>
    </w:p>
    <w:p w14:paraId="0E31CA8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传真：010-65884788</w:t>
      </w:r>
    </w:p>
    <w:p w14:paraId="273456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网址：http://licaike.hexun.com/</w:t>
      </w:r>
    </w:p>
    <w:p w14:paraId="1DF46B3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167) 恒天明泽</w:t>
      </w:r>
    </w:p>
    <w:p w14:paraId="44C219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注册地址：北京市经济技术开发区宏达北路10号五层5122室</w:t>
      </w:r>
    </w:p>
    <w:p w14:paraId="65598C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办公地址：北京市朝阳区东三环北路甲19号SOHO嘉盛中心30层3001室</w:t>
      </w:r>
    </w:p>
    <w:p w14:paraId="375FE5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法定代表人：周斌</w:t>
      </w:r>
    </w:p>
    <w:p w14:paraId="74E62B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联系人：陈霞</w:t>
      </w:r>
    </w:p>
    <w:p w14:paraId="3D22D1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联系电话：010-59313555</w:t>
      </w:r>
    </w:p>
    <w:p w14:paraId="7BDEAF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客户服务电话：4008980618</w:t>
      </w:r>
    </w:p>
    <w:p w14:paraId="28F60A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传真：010-59313586</w:t>
      </w:r>
    </w:p>
    <w:p w14:paraId="01EACD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网址：www.chtwm.com</w:t>
      </w:r>
    </w:p>
    <w:p w14:paraId="27EC2B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168) 弘业期货</w:t>
      </w:r>
    </w:p>
    <w:p w14:paraId="2A3BDB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注册地址：江苏省南京市秦淮区中华路50号</w:t>
      </w:r>
    </w:p>
    <w:p w14:paraId="556E14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办公地址：江苏省南京市秦淮区中华路50号弘业大厦9楼</w:t>
      </w:r>
    </w:p>
    <w:p w14:paraId="7B036EF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法人代表：周剑秋</w:t>
      </w:r>
    </w:p>
    <w:p w14:paraId="4DC3EC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联系人：孙朝旺</w:t>
      </w:r>
    </w:p>
    <w:p w14:paraId="7065A7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联系电话：025-52278870</w:t>
      </w:r>
    </w:p>
    <w:p w14:paraId="06E528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客户服务电话：400-828-1288</w:t>
      </w:r>
    </w:p>
    <w:p w14:paraId="205F87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网址：www.ftol.com.cn</w:t>
      </w:r>
    </w:p>
    <w:p w14:paraId="0BD39D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169) 虹点基金</w:t>
      </w:r>
    </w:p>
    <w:p w14:paraId="504770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注册地址：北京市朝阳区工人体育馆北路甲2号裙房2层222单元</w:t>
      </w:r>
    </w:p>
    <w:p w14:paraId="5FB438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办公地址：北京市朝阳区工体北路甲2号盈科中心东门2层216</w:t>
      </w:r>
    </w:p>
    <w:p w14:paraId="1FFB353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法定代表人：郑毓栋</w:t>
      </w:r>
    </w:p>
    <w:p w14:paraId="0335BA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联系人：牛亚楠</w:t>
      </w:r>
    </w:p>
    <w:p w14:paraId="3F3EB9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联系电话：010-65951887</w:t>
      </w:r>
    </w:p>
    <w:p w14:paraId="645D4B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客户服务电话：400-618-0707</w:t>
      </w:r>
    </w:p>
    <w:p w14:paraId="6A1E56E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网址：www.hongdianfund.com</w:t>
      </w:r>
    </w:p>
    <w:p w14:paraId="28F8FA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170) 华夏财富</w:t>
      </w:r>
    </w:p>
    <w:p w14:paraId="72A4EE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注册地址：上海市虹口区东大名路687号1幢2楼268室</w:t>
      </w:r>
    </w:p>
    <w:p w14:paraId="3C6F8C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办公地址：北京市西城区金融大街33号通泰大厦B座8层</w:t>
      </w:r>
    </w:p>
    <w:p w14:paraId="1E64B1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法定代表人：毛淮平</w:t>
      </w:r>
    </w:p>
    <w:p w14:paraId="18058F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联系人：张静怡</w:t>
      </w:r>
    </w:p>
    <w:p w14:paraId="2853FB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联系电话：010-88066632</w:t>
      </w:r>
    </w:p>
    <w:p w14:paraId="38F6C5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客户服务电话：400-817-5666</w:t>
      </w:r>
    </w:p>
    <w:p w14:paraId="6E062F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传真：010-63136184</w:t>
      </w:r>
    </w:p>
    <w:p w14:paraId="7E55798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网址：www.amcfortune.com</w:t>
      </w:r>
    </w:p>
    <w:p w14:paraId="30250F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171) 汇成基金</w:t>
      </w:r>
    </w:p>
    <w:p w14:paraId="18C631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注册地址：北京市海淀区中关村大街11号11层1108号</w:t>
      </w:r>
    </w:p>
    <w:p w14:paraId="066FCB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办公地址：北京市西城区西直门外大街1号院2号楼 19层 19C13</w:t>
      </w:r>
    </w:p>
    <w:p w14:paraId="09EB2A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法定代表人：王伟刚</w:t>
      </w:r>
    </w:p>
    <w:p w14:paraId="1DBD05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联系人：王骁骁</w:t>
      </w:r>
    </w:p>
    <w:p w14:paraId="778784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联系电话：01056251471</w:t>
      </w:r>
    </w:p>
    <w:p w14:paraId="24E9FC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客户服务电话：400-619-9059</w:t>
      </w:r>
    </w:p>
    <w:p w14:paraId="3F9A8F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网址：www.hcjijin.com</w:t>
      </w:r>
    </w:p>
    <w:p w14:paraId="276E170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172) 汇付基金</w:t>
      </w:r>
    </w:p>
    <w:p w14:paraId="45770B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注册地址：上海市黄浦区黄河路333号201室A区056单元</w:t>
      </w:r>
    </w:p>
    <w:p w14:paraId="030E00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办公地址：上海市徐汇区宜山路700号普天信息产业园2期C5栋 汇付天下总部大楼</w:t>
      </w:r>
    </w:p>
    <w:p w14:paraId="4B42E1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法定代表人：金佶</w:t>
      </w:r>
    </w:p>
    <w:p w14:paraId="5FCD96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联系人：甄宝林</w:t>
      </w:r>
    </w:p>
    <w:p w14:paraId="6D0F5BB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联系电话：021-34013996-3011</w:t>
      </w:r>
    </w:p>
    <w:p w14:paraId="013F1A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客户服务电话：021-34013999</w:t>
      </w:r>
    </w:p>
    <w:p w14:paraId="6CDE28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传真：021-33323837</w:t>
      </w:r>
    </w:p>
    <w:p w14:paraId="21CAFC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网址：www.hotjijin.com</w:t>
      </w:r>
    </w:p>
    <w:p w14:paraId="0350C0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173) 济安财富</w:t>
      </w:r>
    </w:p>
    <w:p w14:paraId="4BF5D6A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注册地址：北京市朝阳区太阳宫中路16号院1号楼3层307</w:t>
      </w:r>
    </w:p>
    <w:p w14:paraId="31388A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办公地址：北京市朝阳区太阳宫中路16号院1号楼冠捷大厦3层307单元</w:t>
      </w:r>
    </w:p>
    <w:p w14:paraId="61292C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法定代表人：杨健</w:t>
      </w:r>
    </w:p>
    <w:p w14:paraId="03956C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联系人：李海燕</w:t>
      </w:r>
    </w:p>
    <w:p w14:paraId="16698A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联系电话：010-65309516</w:t>
      </w:r>
    </w:p>
    <w:p w14:paraId="69F86A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客户服务电话：400-673-7010（济安财富官网）  400-071-6766（腾讯财经）</w:t>
      </w:r>
    </w:p>
    <w:p w14:paraId="7A2AEC8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传真：010-65330699</w:t>
      </w:r>
    </w:p>
    <w:p w14:paraId="5BC0B6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网址：www.jianfortune.com</w:t>
      </w:r>
    </w:p>
    <w:p w14:paraId="0B180E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174) 加和基金</w:t>
      </w:r>
    </w:p>
    <w:p w14:paraId="34E17D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注册地址：北京市西城区德胜门外大街13号院1号楼5层505室</w:t>
      </w:r>
    </w:p>
    <w:p w14:paraId="4988DB6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办公地址：北京市西城区德胜门外大街13号院1号楼5层505室</w:t>
      </w:r>
    </w:p>
    <w:p w14:paraId="22560EE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法定代表人：曲阳</w:t>
      </w:r>
    </w:p>
    <w:p w14:paraId="5A85AF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联系人：王梓骄</w:t>
      </w:r>
    </w:p>
    <w:p w14:paraId="55A59C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联系电话：010-80456756</w:t>
      </w:r>
    </w:p>
    <w:p w14:paraId="4D8468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客户服务电话：400-803-1188</w:t>
      </w:r>
    </w:p>
    <w:p w14:paraId="6BB1B6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传真：010-80456278</w:t>
      </w:r>
    </w:p>
    <w:p w14:paraId="1BB628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网址：www.bzfunds.com</w:t>
      </w:r>
    </w:p>
    <w:p w14:paraId="364BF7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175) 嘉实财富</w:t>
      </w:r>
    </w:p>
    <w:p w14:paraId="1B5D95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注册地址：中国（上海）自由贸易试验区世纪大道8号上海国金中心办公楼二期53层5312-15单元</w:t>
      </w:r>
    </w:p>
    <w:p w14:paraId="704242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办公地址：北京市朝阳区建国路91号金地中心A座6层</w:t>
      </w:r>
    </w:p>
    <w:p w14:paraId="38FBB3A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法定代表人：赵学军</w:t>
      </w:r>
    </w:p>
    <w:p w14:paraId="2B28F0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联系人：李雯</w:t>
      </w:r>
    </w:p>
    <w:p w14:paraId="5CA8EE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联系电话：010-60842306</w:t>
      </w:r>
    </w:p>
    <w:p w14:paraId="57C290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客户服务电话：400-021-8850</w:t>
      </w:r>
    </w:p>
    <w:p w14:paraId="5E3D5E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传真：010-85712195</w:t>
      </w:r>
    </w:p>
    <w:p w14:paraId="736FC4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网址：www.harvestwm.cn</w:t>
      </w:r>
    </w:p>
    <w:p w14:paraId="21C1F1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176) 金观诚</w:t>
      </w:r>
    </w:p>
    <w:p w14:paraId="284D66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注册地址：杭州拱墅区登云路45号金诚集团（锦昌大厦）1幢10楼1001室</w:t>
      </w:r>
    </w:p>
    <w:p w14:paraId="3C703C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办公地址：杭州拱墅区登云路55号金诚集团（锦昌大厦）</w:t>
      </w:r>
    </w:p>
    <w:p w14:paraId="38D18D4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法定代表人：蒋雪琦</w:t>
      </w:r>
    </w:p>
    <w:p w14:paraId="5A25B2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联系人：来舒岚</w:t>
      </w:r>
    </w:p>
    <w:p w14:paraId="733E1D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联系电话：0571-88337888</w:t>
      </w:r>
    </w:p>
    <w:p w14:paraId="3103CC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客户服务电话：4000680058</w:t>
      </w:r>
    </w:p>
    <w:p w14:paraId="79B921C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传真：0571-88337666</w:t>
      </w:r>
    </w:p>
    <w:p w14:paraId="4E5111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网址：http://www.jincheng-fund.com/</w:t>
      </w:r>
    </w:p>
    <w:p w14:paraId="171575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177) 久富财富</w:t>
      </w:r>
    </w:p>
    <w:p w14:paraId="2D3895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注册地址：上海市浦东新区莱阳路2819号1幢109室</w:t>
      </w:r>
    </w:p>
    <w:p w14:paraId="6ED4827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办公地址：上海市浦东新区民生路1403号上海信息大厦1215室</w:t>
      </w:r>
    </w:p>
    <w:p w14:paraId="699D17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法定代表人：赵惠蓉</w:t>
      </w:r>
    </w:p>
    <w:p w14:paraId="4AA0F2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联系人：赵惠蓉</w:t>
      </w:r>
    </w:p>
    <w:p w14:paraId="1B8AB9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联系电话：021-68682279</w:t>
      </w:r>
    </w:p>
    <w:p w14:paraId="33FF32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客户服务电话：400-102-1813</w:t>
      </w:r>
    </w:p>
    <w:p w14:paraId="603670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传真：021-68682297</w:t>
      </w:r>
    </w:p>
    <w:p w14:paraId="237577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网址：www.jfcta.com</w:t>
      </w:r>
    </w:p>
    <w:p w14:paraId="6C697B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178) 凯石财富</w:t>
      </w:r>
    </w:p>
    <w:p w14:paraId="25ABE1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注册地址：上海市黄浦区西藏南路765号602-115室</w:t>
      </w:r>
    </w:p>
    <w:p w14:paraId="4E029B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办公地址：上海市黄浦区延安东路1号凯石大厦4楼</w:t>
      </w:r>
    </w:p>
    <w:p w14:paraId="55233D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法定代表人：陈继武</w:t>
      </w:r>
    </w:p>
    <w:p w14:paraId="43FD9E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联系人：冯强</w:t>
      </w:r>
    </w:p>
    <w:p w14:paraId="73C777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联系电话：021-63333389</w:t>
      </w:r>
    </w:p>
    <w:p w14:paraId="463C0A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客户服务电话：4006-433-389</w:t>
      </w:r>
    </w:p>
    <w:p w14:paraId="085D3C8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传真：021-63333390</w:t>
      </w:r>
    </w:p>
    <w:p w14:paraId="7BE7C4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网址：www.vstonewealth.com</w:t>
      </w:r>
    </w:p>
    <w:p w14:paraId="057520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179) 肯特瑞基金</w:t>
      </w:r>
    </w:p>
    <w:p w14:paraId="7963DB6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注册地址：北京市海淀区显龙山路19号1幢4层1座401</w:t>
      </w:r>
    </w:p>
    <w:p w14:paraId="06E493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办公地址：北京市大兴区亦庄经济开发区科创十一街十八号院京东集团总部A座</w:t>
      </w:r>
    </w:p>
    <w:p w14:paraId="0A08C3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法定代表人：江卉</w:t>
      </w:r>
    </w:p>
    <w:p w14:paraId="0D4F2C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联系人：韩锦星</w:t>
      </w:r>
    </w:p>
    <w:p w14:paraId="3161CF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联系电话：010-89189291</w:t>
      </w:r>
    </w:p>
    <w:p w14:paraId="1063F3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客户服务电话：95118</w:t>
      </w:r>
    </w:p>
    <w:p w14:paraId="6571B3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网址：http://fund.jd.com/</w:t>
      </w:r>
    </w:p>
    <w:p w14:paraId="55F6FF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180) 利得基金</w:t>
      </w:r>
    </w:p>
    <w:p w14:paraId="7FB412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注册地址：上海市宝山区蕴川路5475号1033室</w:t>
      </w:r>
    </w:p>
    <w:p w14:paraId="3A3042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办公地址：上海市虹口区东大名路1098号浦江国际金融广场53层</w:t>
      </w:r>
    </w:p>
    <w:p w14:paraId="686EAA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法定代表人：李兴春</w:t>
      </w:r>
    </w:p>
    <w:p w14:paraId="788DCE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联系人：陈孜明</w:t>
      </w:r>
    </w:p>
    <w:p w14:paraId="732E4A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联系电话：86-021-50583533</w:t>
      </w:r>
    </w:p>
    <w:p w14:paraId="51E2C9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客户服务电话：95733</w:t>
      </w:r>
    </w:p>
    <w:p w14:paraId="045F98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传真：86-21-61101630</w:t>
      </w:r>
    </w:p>
    <w:p w14:paraId="626209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网址：www.leadfund.com.cn</w:t>
      </w:r>
    </w:p>
    <w:p w14:paraId="660CA9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181) 联泰基金</w:t>
      </w:r>
    </w:p>
    <w:p w14:paraId="0EBECA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注册地址：中国（上海）自由贸易试验区富特北路277号3层310室</w:t>
      </w:r>
    </w:p>
    <w:p w14:paraId="487C4A4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办公地址：上海市长宁区福泉北路518号8座3楼</w:t>
      </w:r>
    </w:p>
    <w:p w14:paraId="63397D1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法定代表人：尹彬彬</w:t>
      </w:r>
    </w:p>
    <w:p w14:paraId="2F8202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联系人：陈东</w:t>
      </w:r>
    </w:p>
    <w:p w14:paraId="29A5D1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联系电话：021-52822063</w:t>
      </w:r>
    </w:p>
    <w:p w14:paraId="596694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客户服务电话：400-118-1188</w:t>
      </w:r>
    </w:p>
    <w:p w14:paraId="4F675B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传真：021-52975270</w:t>
      </w:r>
    </w:p>
    <w:p w14:paraId="4B2D63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网址：www.66zichan.com</w:t>
      </w:r>
    </w:p>
    <w:p w14:paraId="275AEC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182) 陆基金</w:t>
      </w:r>
    </w:p>
    <w:p w14:paraId="6622092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注册地址：中国（上海）自由贸易试验区陆家嘴环路1333号14楼09单元</w:t>
      </w:r>
    </w:p>
    <w:p w14:paraId="42C602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办公地址：中国（上海）自由贸易试验区陆家嘴环路1333号14楼09单元</w:t>
      </w:r>
    </w:p>
    <w:p w14:paraId="4159A59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法定代表人：王之光</w:t>
      </w:r>
    </w:p>
    <w:p w14:paraId="273340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联系人：宁博宇</w:t>
      </w:r>
    </w:p>
    <w:p w14:paraId="74468DA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联系电话：021-20665952</w:t>
      </w:r>
    </w:p>
    <w:p w14:paraId="51B57C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客户服务电话：4008219031</w:t>
      </w:r>
    </w:p>
    <w:p w14:paraId="3A8116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传真：021-22066653</w:t>
      </w:r>
    </w:p>
    <w:p w14:paraId="054A9F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网址：www.lufunds.com</w:t>
      </w:r>
    </w:p>
    <w:p w14:paraId="1AC567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183) 蚂蚁基金</w:t>
      </w:r>
    </w:p>
    <w:p w14:paraId="222C23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注册地址：浙江省杭州市余杭区五常街道文一西路969号3幢5层599室</w:t>
      </w:r>
    </w:p>
    <w:p w14:paraId="126455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办公地址：浙江省杭州市西湖区万塘路18号黄龙时代广场B座6F</w:t>
      </w:r>
    </w:p>
    <w:p w14:paraId="2E2CB2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法定代表人：祖国明</w:t>
      </w:r>
    </w:p>
    <w:p w14:paraId="03CC66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联系人：韩爱彬</w:t>
      </w:r>
    </w:p>
    <w:p w14:paraId="5378E1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联系电话：0571-26888888</w:t>
      </w:r>
    </w:p>
    <w:p w14:paraId="5F684B1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客户服务电话：4000-766-123</w:t>
      </w:r>
    </w:p>
    <w:p w14:paraId="3F14D4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网址：http://www.fund123.cn/</w:t>
      </w:r>
    </w:p>
    <w:p w14:paraId="1D212A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184) 民商基金</w:t>
      </w:r>
    </w:p>
    <w:p w14:paraId="1C6912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注册地址：上海黄浦区北京东路666号H区（东座）6楼A31室</w:t>
      </w:r>
    </w:p>
    <w:p w14:paraId="05E544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办公地址：上海市浦东新区张杨路707号生命人寿大厦32楼 </w:t>
      </w:r>
    </w:p>
    <w:p w14:paraId="47867C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法定代表人：贲惠琴</w:t>
      </w:r>
    </w:p>
    <w:p w14:paraId="0D6E93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联系人：杨一新</w:t>
      </w:r>
    </w:p>
    <w:p w14:paraId="662407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联系电话：021-50206003</w:t>
      </w:r>
    </w:p>
    <w:p w14:paraId="0F312D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客户服务电话：021-50206003</w:t>
      </w:r>
    </w:p>
    <w:p w14:paraId="6CA056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传真：021-50206001</w:t>
      </w:r>
    </w:p>
    <w:p w14:paraId="5E1E479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网址：http://www.msftec.com/</w:t>
      </w:r>
    </w:p>
    <w:p w14:paraId="4AAE28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185) 诺亚正行</w:t>
      </w:r>
    </w:p>
    <w:p w14:paraId="1651C8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注册地址：上海市虹口区飞虹路360弄9号3724室</w:t>
      </w:r>
    </w:p>
    <w:p w14:paraId="5A7258C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办公地址：上海杨浦区秦皇岛路32号C栋 2楼</w:t>
      </w:r>
    </w:p>
    <w:p w14:paraId="6FC4AD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法定代表人：汪静波</w:t>
      </w:r>
    </w:p>
    <w:p w14:paraId="67468D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联系人：余翼飞</w:t>
      </w:r>
    </w:p>
    <w:p w14:paraId="18B30D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联系电话：021-80358749</w:t>
      </w:r>
    </w:p>
    <w:p w14:paraId="2823A9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客户服务电话：400-821-5399</w:t>
      </w:r>
    </w:p>
    <w:p w14:paraId="7B393E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传真：021-38509777</w:t>
      </w:r>
    </w:p>
    <w:p w14:paraId="5E1461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网址：www.noah-fund.com</w:t>
      </w:r>
    </w:p>
    <w:p w14:paraId="4EF8DA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186) 钱景基金</w:t>
      </w:r>
    </w:p>
    <w:p w14:paraId="3BEAEE1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注册地址：北京市海淀区中关村东路18号1号楼11层B-1108</w:t>
      </w:r>
    </w:p>
    <w:p w14:paraId="3EBC42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办公地址：北京市海淀区中关村东路18号财智国际大厦B-1108</w:t>
      </w:r>
    </w:p>
    <w:p w14:paraId="573F66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法定代表人：王利刚</w:t>
      </w:r>
    </w:p>
    <w:p w14:paraId="365E9F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联系人：姚付景</w:t>
      </w:r>
    </w:p>
    <w:p w14:paraId="670A5B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联系电话：010-62565181</w:t>
      </w:r>
    </w:p>
    <w:p w14:paraId="13725E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客户服务电话：400-893-6885</w:t>
      </w:r>
    </w:p>
    <w:p w14:paraId="25A18B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传真：010-57569671</w:t>
      </w:r>
    </w:p>
    <w:p w14:paraId="416917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网址：www.qianjing.com</w:t>
      </w:r>
    </w:p>
    <w:p w14:paraId="77A476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187) 深圳新兰德</w:t>
      </w:r>
    </w:p>
    <w:p w14:paraId="7B761B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注册地址：深圳市福田区福田街道民田路178号华融大厦27层2704</w:t>
      </w:r>
    </w:p>
    <w:p w14:paraId="7D0D02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办公地址：北京市西城区宣武门外大街28号富卓大厦A座7层</w:t>
      </w:r>
    </w:p>
    <w:p w14:paraId="771ABE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法定代表人：洪弘</w:t>
      </w:r>
    </w:p>
    <w:p w14:paraId="581617E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联系人：张燕</w:t>
      </w:r>
    </w:p>
    <w:p w14:paraId="629F24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联系电话：010-83363099</w:t>
      </w:r>
    </w:p>
    <w:p w14:paraId="0E471A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客户服务电话：400-166-1188</w:t>
      </w:r>
    </w:p>
    <w:p w14:paraId="58E223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传真：010-83363010</w:t>
      </w:r>
    </w:p>
    <w:p w14:paraId="767931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网址：http://8.jrj.com.cn</w:t>
      </w:r>
    </w:p>
    <w:p w14:paraId="227698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188) 晟视天下</w:t>
      </w:r>
    </w:p>
    <w:p w14:paraId="3AD0A2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注册地址：北京市怀柔区九渡河镇黄坎村735号03室</w:t>
      </w:r>
    </w:p>
    <w:p w14:paraId="70EF35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办公地址：北京市朝阳区朝外大街甲六号万通中心D座21层</w:t>
      </w:r>
    </w:p>
    <w:p w14:paraId="23EF94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法定代表人：蒋煜</w:t>
      </w:r>
    </w:p>
    <w:p w14:paraId="391062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联系人：史俊杰</w:t>
      </w:r>
    </w:p>
    <w:p w14:paraId="44B14AD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联系电话：010-58170936</w:t>
      </w:r>
    </w:p>
    <w:p w14:paraId="6090DA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客户服务电话：010-58170761</w:t>
      </w:r>
    </w:p>
    <w:p w14:paraId="302B47C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传真：010-58170800</w:t>
      </w:r>
    </w:p>
    <w:p w14:paraId="076D986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网址：www.shengshiview.com</w:t>
      </w:r>
    </w:p>
    <w:p w14:paraId="127C6B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189) 苏宁基金</w:t>
      </w:r>
    </w:p>
    <w:p w14:paraId="4A38D8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注册地址：南京市玄武区苏宁大道1-5号</w:t>
      </w:r>
    </w:p>
    <w:p w14:paraId="01C439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办公地址：南京市玄武区苏宁大道1-5号</w:t>
      </w:r>
    </w:p>
    <w:p w14:paraId="5FD6C7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法定代表人：王锋</w:t>
      </w:r>
    </w:p>
    <w:p w14:paraId="4DA841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联系人：张云飞</w:t>
      </w:r>
    </w:p>
    <w:p w14:paraId="4AF6A62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联系电话：025-66996699-882796</w:t>
      </w:r>
    </w:p>
    <w:p w14:paraId="7350D3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客户服务电话：95177</w:t>
      </w:r>
    </w:p>
    <w:p w14:paraId="7EC8EB7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网址：www.snjijin.com</w:t>
      </w:r>
    </w:p>
    <w:p w14:paraId="7CFE81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190) 腾安基金</w:t>
      </w:r>
    </w:p>
    <w:p w14:paraId="4AC4D29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注册地址：深圳市前海深港合作区前湾一路1号A栋201室（入驻深圳市前海商务秘书有限公司）</w:t>
      </w:r>
    </w:p>
    <w:p w14:paraId="7BD06A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办公地址：深圳市南山区海天二路33号腾讯滨海大厦15楼</w:t>
      </w:r>
    </w:p>
    <w:p w14:paraId="058494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法定代表人：刘明军</w:t>
      </w:r>
    </w:p>
    <w:p w14:paraId="4A4CB5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联系人：谭广锋</w:t>
      </w:r>
    </w:p>
    <w:p w14:paraId="7BD6A28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客户服务电话：95017（拨通后转1转8）</w:t>
      </w:r>
    </w:p>
    <w:p w14:paraId="7425E4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公司网址：https://www.txfund.com/</w:t>
      </w:r>
    </w:p>
    <w:p w14:paraId="6CBD77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191) 天天基金</w:t>
      </w:r>
    </w:p>
    <w:p w14:paraId="3BA5C15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注册地址：上海市徐汇区龙田路190号2号楼2层</w:t>
      </w:r>
    </w:p>
    <w:p w14:paraId="60F783D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办公地址：上海市徐汇区宛平南路88号东方财富大厦</w:t>
      </w:r>
    </w:p>
    <w:p w14:paraId="128AC4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法定代表人：其实</w:t>
      </w:r>
    </w:p>
    <w:p w14:paraId="709794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联系人：潘世友</w:t>
      </w:r>
    </w:p>
    <w:p w14:paraId="022CD1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联系电话：021-54509977</w:t>
      </w:r>
    </w:p>
    <w:p w14:paraId="0C6D27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客户服务电话：95021</w:t>
      </w:r>
    </w:p>
    <w:p w14:paraId="5283402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传真：021-64385308</w:t>
      </w:r>
    </w:p>
    <w:p w14:paraId="10422D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网址：www.1234567.com.cn</w:t>
      </w:r>
    </w:p>
    <w:p w14:paraId="55C7EC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192) 通华财富</w:t>
      </w:r>
    </w:p>
    <w:p w14:paraId="71CB7F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注册地址：上海市虹口区同丰路667弄107号201室</w:t>
      </w:r>
    </w:p>
    <w:p w14:paraId="26E6F8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办公地址：上海市浦东新区金沪路55号通华科技大厦7楼</w:t>
      </w:r>
    </w:p>
    <w:p w14:paraId="05D992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法定代表人：沈丹义</w:t>
      </w:r>
    </w:p>
    <w:p w14:paraId="06C43D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联系人：杨涛、庄洁茹</w:t>
      </w:r>
    </w:p>
    <w:p w14:paraId="316C0C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联系电话：021-60810586</w:t>
      </w:r>
    </w:p>
    <w:p w14:paraId="19309D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客户服务电话：95193转5</w:t>
      </w:r>
    </w:p>
    <w:p w14:paraId="79209D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传真：021-60810695</w:t>
      </w:r>
    </w:p>
    <w:p w14:paraId="73414DE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网址：www.tonghuafund.com</w:t>
      </w:r>
    </w:p>
    <w:p w14:paraId="2B575AD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193) 同花顺</w:t>
      </w:r>
    </w:p>
    <w:p w14:paraId="514480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注册地址：浙江省杭州市文二西路1号903室</w:t>
      </w:r>
    </w:p>
    <w:p w14:paraId="4BF761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办公地址：杭州市余杭区五常街道同顺街18号同花顺大楼4层</w:t>
      </w:r>
    </w:p>
    <w:p w14:paraId="6C6422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法定代表人：吴强</w:t>
      </w:r>
    </w:p>
    <w:p w14:paraId="5894E8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联系人：吴强</w:t>
      </w:r>
    </w:p>
    <w:p w14:paraId="63961FB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联系电话：0571-88911818</w:t>
      </w:r>
    </w:p>
    <w:p w14:paraId="114AD0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客户服务电话：4008-773-772</w:t>
      </w:r>
    </w:p>
    <w:p w14:paraId="7E323F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传真：0571-86800423</w:t>
      </w:r>
    </w:p>
    <w:p w14:paraId="68B14B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网址：www.5ifund.com</w:t>
      </w:r>
    </w:p>
    <w:p w14:paraId="74B4B66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194) 途牛基金</w:t>
      </w:r>
    </w:p>
    <w:p w14:paraId="53C5A4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注册地址：江苏省南京市玄武区玄武大道699-1号</w:t>
      </w:r>
    </w:p>
    <w:p w14:paraId="603411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办公地址：江苏省南京市玄武区玄武大道699-32号</w:t>
      </w:r>
    </w:p>
    <w:p w14:paraId="489794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法人代表：宋时琳</w:t>
      </w:r>
    </w:p>
    <w:p w14:paraId="7A1F83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联系人：贺杰</w:t>
      </w:r>
    </w:p>
    <w:p w14:paraId="26033D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联系电话：025-86853960-66727</w:t>
      </w:r>
    </w:p>
    <w:p w14:paraId="6564E0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客户服务电话：4007-999-999转3</w:t>
      </w:r>
    </w:p>
    <w:p w14:paraId="6A07F1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网址：http://jr.tuniu.com</w:t>
      </w:r>
    </w:p>
    <w:p w14:paraId="4DBAE37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195) 挖财基金</w:t>
      </w:r>
    </w:p>
    <w:p w14:paraId="15B45F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注册地址：中国（上海）自由贸易试验区杨高南路799号5楼01、02、03室</w:t>
      </w:r>
    </w:p>
    <w:p w14:paraId="43BE090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办公地址：上海市浦东新区杨高南路799号陆家嘴世纪金融广场3号楼5层01、02、03层</w:t>
      </w:r>
    </w:p>
    <w:p w14:paraId="6C6E2E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法定代表人：冷飞 </w:t>
      </w:r>
    </w:p>
    <w:p w14:paraId="5A0880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联系人：李娟</w:t>
      </w:r>
    </w:p>
    <w:p w14:paraId="133362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联系电话：021-50810687</w:t>
      </w:r>
    </w:p>
    <w:p w14:paraId="354D72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客户服务电话：021-50810673</w:t>
      </w:r>
    </w:p>
    <w:p w14:paraId="7730F06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网址：www.wacaijijin.com</w:t>
      </w:r>
    </w:p>
    <w:p w14:paraId="2B8477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196) 万得基金</w:t>
      </w:r>
    </w:p>
    <w:p w14:paraId="13FA133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注册地址：中国（上海）自由贸易试验区福山路33号11楼B座</w:t>
      </w:r>
    </w:p>
    <w:p w14:paraId="7BC02D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办公地址：上海市浦东新区浦明路1500号万得大厦11楼</w:t>
      </w:r>
    </w:p>
    <w:p w14:paraId="16A9DE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法定代表人：黄祎</w:t>
      </w:r>
    </w:p>
    <w:p w14:paraId="0DD803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联系人：徐亚丹</w:t>
      </w:r>
    </w:p>
    <w:p w14:paraId="330294B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联系电话：021-50712782</w:t>
      </w:r>
    </w:p>
    <w:p w14:paraId="050FBC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客户服务电话：400-799-1888</w:t>
      </w:r>
    </w:p>
    <w:p w14:paraId="47BB43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网址：www.520fund.com.cn</w:t>
      </w:r>
    </w:p>
    <w:p w14:paraId="762B02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197) 万家财富</w:t>
      </w:r>
    </w:p>
    <w:p w14:paraId="6B1DAC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注册地址：天津自贸区（中心商务区）迎宾大道1988号滨海浙商大厦公寓2-2413室</w:t>
      </w:r>
    </w:p>
    <w:p w14:paraId="6C68C9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办公地址：北京市西城区丰盛胡同28号太平洋保险大厦A座5层</w:t>
      </w:r>
    </w:p>
    <w:p w14:paraId="0B15EC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法定代表人：张军</w:t>
      </w:r>
    </w:p>
    <w:p w14:paraId="6316E9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联系人：王芳芳</w:t>
      </w:r>
    </w:p>
    <w:p w14:paraId="010B1DD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联系电话：010-59013828</w:t>
      </w:r>
    </w:p>
    <w:p w14:paraId="22859E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客户服务电话：010-59013842</w:t>
      </w:r>
    </w:p>
    <w:p w14:paraId="7B1887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网址：http://www.wanjiawealth.com/</w:t>
      </w:r>
    </w:p>
    <w:p w14:paraId="7720EB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198) 鑫鼎盛</w:t>
      </w:r>
    </w:p>
    <w:p w14:paraId="45052C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注册地址：厦门市思明区鹭江道2号厦门第一广场西座1501-1502室</w:t>
      </w:r>
    </w:p>
    <w:p w14:paraId="728B81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办公地址：厦门市思明区鹭江道2号厦门第一广场西座1501-1502室</w:t>
      </w:r>
    </w:p>
    <w:p w14:paraId="6D0082F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法定代表人：陈洪生 </w:t>
      </w:r>
    </w:p>
    <w:p w14:paraId="47AD66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联系人：梁云波</w:t>
      </w:r>
    </w:p>
    <w:p w14:paraId="6232864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联系电话：0592-3122757</w:t>
      </w:r>
    </w:p>
    <w:p w14:paraId="475535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客户服务电话：400-918-0808</w:t>
      </w:r>
    </w:p>
    <w:p w14:paraId="2AFD7F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网址：www.xds.com.cn</w:t>
      </w:r>
    </w:p>
    <w:p w14:paraId="5A1E45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199) 阳光人寿保险</w:t>
      </w:r>
    </w:p>
    <w:p w14:paraId="5668BC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注册地址：海南省三亚市迎宾路360-1号三亚阳光金融广场16层</w:t>
      </w:r>
    </w:p>
    <w:p w14:paraId="0B13DA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办公地址：北京市朝阳区朝外大街20号联合大厦701A室</w:t>
      </w:r>
    </w:p>
    <w:p w14:paraId="13A9D1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法定代表人：李科</w:t>
      </w:r>
    </w:p>
    <w:p w14:paraId="74E830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联系人：龙尧</w:t>
      </w:r>
    </w:p>
    <w:p w14:paraId="0A917E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联系电话：010-59053779</w:t>
      </w:r>
    </w:p>
    <w:p w14:paraId="0AC1B6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客户服务电话：95510</w:t>
      </w:r>
    </w:p>
    <w:p w14:paraId="448B0E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传真：010-59053700</w:t>
      </w:r>
    </w:p>
    <w:p w14:paraId="25C4A3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网址：http://fund.sinosig.com</w:t>
      </w:r>
    </w:p>
    <w:p w14:paraId="03AEE6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200) 一路财富</w:t>
      </w:r>
    </w:p>
    <w:p w14:paraId="67BAC9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注册地址：北京市西城区阜成门外大街2号1幢A2208室</w:t>
      </w:r>
    </w:p>
    <w:p w14:paraId="03DE4B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办公地址：北京市海淀区宝盛南路奥北科技园20号楼国泰大厦9层</w:t>
      </w:r>
    </w:p>
    <w:p w14:paraId="0207D8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法定代表人：吴雪秀</w:t>
      </w:r>
    </w:p>
    <w:p w14:paraId="021004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联系人：刘栋栋</w:t>
      </w:r>
    </w:p>
    <w:p w14:paraId="3B76FC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联系电话：010-88312877</w:t>
      </w:r>
    </w:p>
    <w:p w14:paraId="5ECFEBA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客户服务电话：400-001-1566</w:t>
      </w:r>
    </w:p>
    <w:p w14:paraId="6990F0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传真：010-88312099</w:t>
      </w:r>
    </w:p>
    <w:p w14:paraId="78699E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网址：www.yilucaifu.com</w:t>
      </w:r>
    </w:p>
    <w:p w14:paraId="06EACF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201) 宜投基金销售</w:t>
      </w:r>
    </w:p>
    <w:p w14:paraId="792A58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注册地址：深圳市前海深港合作区前湾一路1号A栋201室入驻深圳市前海商务秘书有限公司)</w:t>
      </w:r>
    </w:p>
    <w:p w14:paraId="68896A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办公地址：深圳市福田区嘉里建设广场2座15楼</w:t>
      </w:r>
    </w:p>
    <w:p w14:paraId="7AD1CC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法定代表人：雷凤潮</w:t>
      </w:r>
    </w:p>
    <w:p w14:paraId="5D9C48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联系人：梁菲菲</w:t>
      </w:r>
    </w:p>
    <w:p w14:paraId="4F9C7E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联系电话：0755-88603874</w:t>
      </w:r>
    </w:p>
    <w:p w14:paraId="41A5E9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客户服务电话：4008-955-811</w:t>
      </w:r>
    </w:p>
    <w:p w14:paraId="14FF711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网址：www.yitfund.com</w:t>
      </w:r>
    </w:p>
    <w:p w14:paraId="26A174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202) 宜信普泽</w:t>
      </w:r>
    </w:p>
    <w:p w14:paraId="1B0E0EE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注册地址：北京市朝阳区建国路88号9号楼15层1809</w:t>
      </w:r>
    </w:p>
    <w:p w14:paraId="055E26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办公地址：北京市朝阳区建国路88号楼SOHO现代城C座18层1809</w:t>
      </w:r>
    </w:p>
    <w:p w14:paraId="07EF6F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法定代表人：戎兵</w:t>
      </w:r>
    </w:p>
    <w:p w14:paraId="079ED9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联系人：魏晨</w:t>
      </w:r>
    </w:p>
    <w:p w14:paraId="73FEE8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联系电话：010-52413385</w:t>
      </w:r>
    </w:p>
    <w:p w14:paraId="152547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客户服务电话：400-6099-200</w:t>
      </w:r>
    </w:p>
    <w:p w14:paraId="5234BB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传真：010-85800047</w:t>
      </w:r>
    </w:p>
    <w:p w14:paraId="4C1BAA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网址：www.yixinfund.com</w:t>
      </w:r>
    </w:p>
    <w:p w14:paraId="5C6DA9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203) 奕丰金融</w:t>
      </w:r>
    </w:p>
    <w:p w14:paraId="7604950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注册地址：深圳市前海深港合作区前湾一路1号A栋201室（入驻深圳市前海商务秘书有限公司）</w:t>
      </w:r>
    </w:p>
    <w:p w14:paraId="28D65E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办公地址：深圳市南山区海德三道航天科技广场A座17楼1704室</w:t>
      </w:r>
    </w:p>
    <w:p w14:paraId="42F7F5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法定代表人：TEO WEE HOWE</w:t>
      </w:r>
    </w:p>
    <w:p w14:paraId="3D9E0B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联系人：叶健</w:t>
      </w:r>
    </w:p>
    <w:p w14:paraId="732906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联系电话：0755-89460507</w:t>
      </w:r>
    </w:p>
    <w:p w14:paraId="07E8556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客户服务电话：400-684-0500</w:t>
      </w:r>
    </w:p>
    <w:p w14:paraId="7721D1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传真：0755-21674453</w:t>
      </w:r>
    </w:p>
    <w:p w14:paraId="676357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网址：www.ifastps.com.cn</w:t>
      </w:r>
    </w:p>
    <w:p w14:paraId="692109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204) 盈米基金</w:t>
      </w:r>
    </w:p>
    <w:p w14:paraId="336C62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注册地址：珠海市横琴新区宝华路6号105室-3491</w:t>
      </w:r>
    </w:p>
    <w:p w14:paraId="600792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办公地址：广州市海珠区琶洲大道东路1号保利国际广场南塔1201-1203室</w:t>
      </w:r>
    </w:p>
    <w:p w14:paraId="1D8B78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法定代表人：肖雯</w:t>
      </w:r>
    </w:p>
    <w:p w14:paraId="0A89CF9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联系人：邱湘湘</w:t>
      </w:r>
    </w:p>
    <w:p w14:paraId="63EC81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联系电话：020-89629099</w:t>
      </w:r>
    </w:p>
    <w:p w14:paraId="03297D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客户服务电话：020-89629066</w:t>
      </w:r>
    </w:p>
    <w:p w14:paraId="69CC13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传真：020-89629011</w:t>
      </w:r>
    </w:p>
    <w:p w14:paraId="5526B3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网址：www.yingmi.cn</w:t>
      </w:r>
    </w:p>
    <w:p w14:paraId="48B51B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205) 云湾基金</w:t>
      </w:r>
    </w:p>
    <w:p w14:paraId="66F52F2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注册地址：中国上海)自由贸易试验区新金桥路27号、明月路1257号1幢1层103-1、103-2办公区</w:t>
      </w:r>
    </w:p>
    <w:p w14:paraId="671F6F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办公地址：上海市浦东新区新金桥路27号1号楼</w:t>
      </w:r>
    </w:p>
    <w:p w14:paraId="3C1288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法定代表人：冯轶明</w:t>
      </w:r>
    </w:p>
    <w:p w14:paraId="2E0CCC2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联系人：范泽杰</w:t>
      </w:r>
    </w:p>
    <w:p w14:paraId="3C00F2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联系电话：021-20530186</w:t>
      </w:r>
    </w:p>
    <w:p w14:paraId="0B7514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客户服务电话：400-820-1515</w:t>
      </w:r>
    </w:p>
    <w:p w14:paraId="25A5B2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传真：021-20539999</w:t>
      </w:r>
    </w:p>
    <w:p w14:paraId="60BF45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网址：http://www.zhengtongfunds.com/</w:t>
      </w:r>
    </w:p>
    <w:p w14:paraId="24DE0D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206) 增财基金</w:t>
      </w:r>
    </w:p>
    <w:p w14:paraId="75AEFD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注册地址：北京市西城区南礼士路66号建威大厦1208室</w:t>
      </w:r>
    </w:p>
    <w:p w14:paraId="5548D2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办公地址：北京市西城区南礼士路66号建威大厦1208-1209室</w:t>
      </w:r>
    </w:p>
    <w:p w14:paraId="65C3B4C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法定代表人：罗细安</w:t>
      </w:r>
    </w:p>
    <w:p w14:paraId="1FFC4DC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联系人：闫丽敏</w:t>
      </w:r>
    </w:p>
    <w:p w14:paraId="2D3FB5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联系电话：010-67000988</w:t>
      </w:r>
    </w:p>
    <w:p w14:paraId="002EB8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客户服务电话：400-001-8811</w:t>
      </w:r>
    </w:p>
    <w:p w14:paraId="1B5927C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传真：010-67000988-6000</w:t>
      </w:r>
    </w:p>
    <w:p w14:paraId="46585DA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网址：www.zcvc.com.cn</w:t>
      </w:r>
    </w:p>
    <w:p w14:paraId="470CCB4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207) 展恒基金</w:t>
      </w:r>
    </w:p>
    <w:p w14:paraId="50DEF17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注册地址：北京市顺义区后沙峪镇安富街6号</w:t>
      </w:r>
    </w:p>
    <w:p w14:paraId="13E2C6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办公地址：北京市朝阳区安苑路15-1号邮电新闻大厦6层</w:t>
      </w:r>
    </w:p>
    <w:p w14:paraId="7DDBE1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法定代表人：闫振杰</w:t>
      </w:r>
    </w:p>
    <w:p w14:paraId="776FBF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联系人：李晓芳</w:t>
      </w:r>
    </w:p>
    <w:p w14:paraId="150E2D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联系电话：010-59601366-7167</w:t>
      </w:r>
    </w:p>
    <w:p w14:paraId="5C04CB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客户服务电话：400-818-8000</w:t>
      </w:r>
    </w:p>
    <w:p w14:paraId="3F0A02E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传真：0351-4110714</w:t>
      </w:r>
    </w:p>
    <w:p w14:paraId="7E1E5C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网址：www.myfund.com</w:t>
      </w:r>
    </w:p>
    <w:p w14:paraId="6DDF66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208) 中国国际期货</w:t>
      </w:r>
    </w:p>
    <w:p w14:paraId="2E7219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注册地址：北京市朝阳区建国门外光华路14号1幢6层609号、610号</w:t>
      </w:r>
    </w:p>
    <w:p w14:paraId="6A43F8F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办公地址：北京市朝阳区建国门外光华路14号1幢1层、2层、9层、11层、12层</w:t>
      </w:r>
    </w:p>
    <w:p w14:paraId="4CB444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法定代表人：王兵</w:t>
      </w:r>
    </w:p>
    <w:p w14:paraId="3AAC12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联系人：霍丽文</w:t>
      </w:r>
    </w:p>
    <w:p w14:paraId="763BDC1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联系电话：010-65807827</w:t>
      </w:r>
    </w:p>
    <w:p w14:paraId="717791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客户服务电话：95162</w:t>
      </w:r>
    </w:p>
    <w:p w14:paraId="130A8E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传真：010-59539806</w:t>
      </w:r>
    </w:p>
    <w:p w14:paraId="1700DC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网址：http://www.cifco.net/</w:t>
      </w:r>
    </w:p>
    <w:p w14:paraId="170BDF3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209) 中欧钱滚滚</w:t>
      </w:r>
    </w:p>
    <w:p w14:paraId="3D7F79F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注册地址：中国（上海）自由贸易试验区陆家嘴环路333号729S</w:t>
      </w:r>
    </w:p>
    <w:p w14:paraId="5E7757B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办公地址：上海市虹口区公平路18号8栋嘉昱大厦6层</w:t>
      </w:r>
    </w:p>
    <w:p w14:paraId="236CF6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法定代表人：许欣</w:t>
      </w:r>
    </w:p>
    <w:p w14:paraId="2648B33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联系人：屠帅颖</w:t>
      </w:r>
    </w:p>
    <w:p w14:paraId="4E1020C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联系电话：021-68609600-5905</w:t>
      </w:r>
    </w:p>
    <w:p w14:paraId="5BC5EC9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客户服务电话：400-700-9700—中欧钱滚滚专线</w:t>
      </w:r>
    </w:p>
    <w:p w14:paraId="53128AE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网址：www.qiangungun.com</w:t>
      </w:r>
    </w:p>
    <w:p w14:paraId="09680AF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210) 中期时代基金</w:t>
      </w:r>
    </w:p>
    <w:p w14:paraId="7779D5B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注册地址：北京市朝阳区建国门外光华路14号1幢11层1103号</w:t>
      </w:r>
    </w:p>
    <w:p w14:paraId="180980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办公地址：北京市朝阳区建国门外光华路14号1幢4层</w:t>
      </w:r>
    </w:p>
    <w:p w14:paraId="3FA62E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法定代表人：田宏莉</w:t>
      </w:r>
    </w:p>
    <w:p w14:paraId="655D12A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联系人：尹庆</w:t>
      </w:r>
    </w:p>
    <w:p w14:paraId="3EA0AD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联系电话：010-65807865</w:t>
      </w:r>
    </w:p>
    <w:p w14:paraId="3522D5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客户服务电话：95162</w:t>
      </w:r>
    </w:p>
    <w:p w14:paraId="14684F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传真：010-65807864</w:t>
      </w:r>
    </w:p>
    <w:p w14:paraId="00B07F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网址：www.jrtoo.com</w:t>
      </w:r>
    </w:p>
    <w:p w14:paraId="0E297AC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211) 中信建投期货</w:t>
      </w:r>
    </w:p>
    <w:p w14:paraId="6856D9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注册地址：重庆市渝中区中山三路107号上站大楼平街11-B，名义层11-A，8-B4，9-B、C</w:t>
      </w:r>
    </w:p>
    <w:p w14:paraId="66EA14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办公地址：重庆市渝中区中山三路107号皇冠大厦11楼</w:t>
      </w:r>
    </w:p>
    <w:p w14:paraId="3D1900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法定代表人：彭文德</w:t>
      </w:r>
    </w:p>
    <w:p w14:paraId="0334E90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联系人：刘芸</w:t>
      </w:r>
    </w:p>
    <w:p w14:paraId="1FDC395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联系电话：023-86769637</w:t>
      </w:r>
    </w:p>
    <w:p w14:paraId="5E906D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客户服务电话：400-8877-780</w:t>
      </w:r>
    </w:p>
    <w:p w14:paraId="65D47F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传真：023-86769629</w:t>
      </w:r>
    </w:p>
    <w:p w14:paraId="242DEE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网址：www.cfc108.com</w:t>
      </w:r>
    </w:p>
    <w:p w14:paraId="112E4F1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212) 中信期货</w:t>
      </w:r>
    </w:p>
    <w:p w14:paraId="389CF66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注册地址：广东省深圳市福田区中心三路8号卓越时代广场（二期）北座13层1301-1305室、14层</w:t>
      </w:r>
    </w:p>
    <w:p w14:paraId="78A6A1F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办公地址：深圳市福田区中心三路8号卓越时代广场（二期）北座13层1301-1305室、14层</w:t>
      </w:r>
    </w:p>
    <w:p w14:paraId="2BA06FE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法定代表人：张皓</w:t>
      </w:r>
    </w:p>
    <w:p w14:paraId="44F29F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联系人：刘宏莹</w:t>
      </w:r>
    </w:p>
    <w:p w14:paraId="2AEB565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联系电话：010-6083 3754</w:t>
      </w:r>
    </w:p>
    <w:p w14:paraId="215C5A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客户服务电话：400-990-8826</w:t>
      </w:r>
    </w:p>
    <w:p w14:paraId="6EFEC20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传真：021-60819988</w:t>
      </w:r>
    </w:p>
    <w:p w14:paraId="3E6782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网址：http://www.citicsf.com/</w:t>
      </w:r>
    </w:p>
    <w:p w14:paraId="24066C9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213) 中正达广</w:t>
      </w:r>
    </w:p>
    <w:p w14:paraId="25810C5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注册地址：上海市徐汇区龙腾大道2815号302室</w:t>
      </w:r>
    </w:p>
    <w:p w14:paraId="62C3288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办公地址：上海市徐汇区龙腾大道2815号302室</w:t>
      </w:r>
    </w:p>
    <w:p w14:paraId="73F631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法定代表人：黄欣</w:t>
      </w:r>
    </w:p>
    <w:p w14:paraId="46DBF4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联系人：戴珉微</w:t>
      </w:r>
    </w:p>
    <w:p w14:paraId="7F4CAA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联系电话：021-33768132</w:t>
      </w:r>
    </w:p>
    <w:p w14:paraId="3B4369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客户服务电话：400-6767-523</w:t>
      </w:r>
    </w:p>
    <w:p w14:paraId="243BDA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传真：021-33768132-802</w:t>
      </w:r>
    </w:p>
    <w:p w14:paraId="272F3B0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网址：www.zhongzhengfund.com</w:t>
      </w:r>
    </w:p>
    <w:p w14:paraId="59F9887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214) 众禄基金</w:t>
      </w:r>
    </w:p>
    <w:p w14:paraId="54F4104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注册地址：深圳市罗湖区笋岗街道笋西社区梨园路8号HALO广场一期四层12-13室</w:t>
      </w:r>
    </w:p>
    <w:p w14:paraId="322204C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办公地址：深圳市罗湖区梨园路HALO广场4楼</w:t>
      </w:r>
    </w:p>
    <w:p w14:paraId="5E1D557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法定代表人：薛峰</w:t>
      </w:r>
    </w:p>
    <w:p w14:paraId="266407D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联系人：龚江江</w:t>
      </w:r>
    </w:p>
    <w:p w14:paraId="668DFF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联系电话：0755-33227950</w:t>
      </w:r>
    </w:p>
    <w:p w14:paraId="7088F7C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客户服务电话：4006-788-887</w:t>
      </w:r>
    </w:p>
    <w:p w14:paraId="51968B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传真：0755-33227951</w:t>
      </w:r>
    </w:p>
    <w:p w14:paraId="176BB6B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网址：www.zlfund.cn    www.jjmmw.com</w:t>
      </w:r>
    </w:p>
    <w:p w14:paraId="1A4D298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215) 浦领基金</w:t>
      </w:r>
    </w:p>
    <w:p w14:paraId="1D3DF4F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注册地址：北京市朝阳区望京东园四区13号楼A座9层908室</w:t>
      </w:r>
    </w:p>
    <w:p w14:paraId="6CEC27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办公地址：北京市朝阳区望京浦项中心A座9层04-08</w:t>
      </w:r>
    </w:p>
    <w:p w14:paraId="3AA452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法定代表人：聂婉君</w:t>
      </w:r>
    </w:p>
    <w:p w14:paraId="4CEBCB0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联系人：李艳</w:t>
      </w:r>
    </w:p>
    <w:p w14:paraId="0CD9C3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联系电话：010-59497361</w:t>
      </w:r>
    </w:p>
    <w:p w14:paraId="1923A4E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客户服务电话：400-012-5899</w:t>
      </w:r>
    </w:p>
    <w:p w14:paraId="0779C5B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传真：010-64788016</w:t>
      </w:r>
    </w:p>
    <w:p w14:paraId="65A23C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网址：www.zscffund.com</w:t>
      </w:r>
    </w:p>
    <w:p w14:paraId="5F8C961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（2）C类人民币基金份额</w:t>
      </w:r>
    </w:p>
    <w:p w14:paraId="2F6687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 华融湘江银行</w:t>
      </w:r>
    </w:p>
    <w:p w14:paraId="0B60C55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注册地址：长沙市天心区芙蓉南路一段828号杰座大厦</w:t>
      </w:r>
    </w:p>
    <w:p w14:paraId="1A7ED7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办公地址：湖南省长沙市湘府东路二段208号万境财智中心南栋</w:t>
      </w:r>
    </w:p>
    <w:p w14:paraId="0F2879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法定代表人：张永宏</w:t>
      </w:r>
    </w:p>
    <w:p w14:paraId="1ECA3B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联系人：曾玉姣</w:t>
      </w:r>
    </w:p>
    <w:p w14:paraId="4F4679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联系电话：0731-89828592</w:t>
      </w:r>
    </w:p>
    <w:p w14:paraId="5DBD1D3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客户服务电话：0731-96599</w:t>
      </w:r>
    </w:p>
    <w:p w14:paraId="3B15FD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传真：0731-89828806</w:t>
      </w:r>
    </w:p>
    <w:p w14:paraId="559E846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网址：www.hrxjbank.com.cn</w:t>
      </w:r>
    </w:p>
    <w:p w14:paraId="3D4A7A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 四川天府银行</w:t>
      </w:r>
    </w:p>
    <w:p w14:paraId="6D4C34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注册地址：四川省南充市涪江路1号</w:t>
      </w:r>
    </w:p>
    <w:p w14:paraId="1F94BA4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办公地址：四川省成都市锦江区东大街下东大街258号</w:t>
      </w:r>
    </w:p>
    <w:p w14:paraId="27BA43D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法定代表人：邢敏</w:t>
      </w:r>
    </w:p>
    <w:p w14:paraId="2FC8EB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联系人：樊海波</w:t>
      </w:r>
    </w:p>
    <w:p w14:paraId="49F756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联系电话：028-67676033</w:t>
      </w:r>
    </w:p>
    <w:p w14:paraId="30BCF2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客户服务电话：400-16-96869</w:t>
      </w:r>
    </w:p>
    <w:p w14:paraId="5BA5F4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网址：www.tf.cn</w:t>
      </w:r>
    </w:p>
    <w:p w14:paraId="089984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 国联证券</w:t>
      </w:r>
    </w:p>
    <w:p w14:paraId="047B8A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注册地址：江苏省无锡市太湖新城金融一街8号</w:t>
      </w:r>
    </w:p>
    <w:p w14:paraId="128E24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办公地址：江苏省无锡市太湖新城金融一街8号国联金融大厦</w:t>
      </w:r>
    </w:p>
    <w:p w14:paraId="7228AF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法定代表人：姚志勇</w:t>
      </w:r>
    </w:p>
    <w:p w14:paraId="1DD699A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联系人：祁昊</w:t>
      </w:r>
    </w:p>
    <w:p w14:paraId="4CD1C9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联系电话：0510-82831662</w:t>
      </w:r>
    </w:p>
    <w:p w14:paraId="2734BC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客户服务电话：95570</w:t>
      </w:r>
    </w:p>
    <w:p w14:paraId="2D31B70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传真：0510-82830162</w:t>
      </w:r>
    </w:p>
    <w:p w14:paraId="67483B0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网址：www.glsc.com.cn</w:t>
      </w:r>
    </w:p>
    <w:p w14:paraId="590E269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 华泰证券</w:t>
      </w:r>
    </w:p>
    <w:p w14:paraId="0EEAF93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注册地址：南京市江东中路228号</w:t>
      </w:r>
    </w:p>
    <w:p w14:paraId="6766CF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办公地址：南京市建邺区江东中路228号华泰证券广场</w:t>
      </w:r>
    </w:p>
    <w:p w14:paraId="6E352C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法定代表人：周易</w:t>
      </w:r>
    </w:p>
    <w:p w14:paraId="08FE4F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联系人：庞晓芸</w:t>
      </w:r>
    </w:p>
    <w:p w14:paraId="1F4DAB9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联系电话：0755-82492193</w:t>
      </w:r>
    </w:p>
    <w:p w14:paraId="01BC8DE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客户服务电话：95597</w:t>
      </w:r>
    </w:p>
    <w:p w14:paraId="399DC7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传真：025-83387523</w:t>
      </w:r>
    </w:p>
    <w:p w14:paraId="7500B2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网址：www.htsc.com.cn</w:t>
      </w:r>
    </w:p>
    <w:p w14:paraId="36D833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5) 江海证券</w:t>
      </w:r>
    </w:p>
    <w:p w14:paraId="1F32CA8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注册地址：黑龙江省哈尔滨市香坊区赣水路56号</w:t>
      </w:r>
    </w:p>
    <w:p w14:paraId="7A90AAA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办公地址：黑龙江省哈尔滨市松北区创新三路833号</w:t>
      </w:r>
    </w:p>
    <w:p w14:paraId="1AEFD46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法定代表人：赵洪波</w:t>
      </w:r>
    </w:p>
    <w:p w14:paraId="7DB490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联系人：姜志伟</w:t>
      </w:r>
    </w:p>
    <w:p w14:paraId="13257A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联系电话：0451-87765732</w:t>
      </w:r>
    </w:p>
    <w:p w14:paraId="1FC609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客户服务电话：400-666-2288</w:t>
      </w:r>
    </w:p>
    <w:p w14:paraId="0B56E4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传真：0451-82337279</w:t>
      </w:r>
    </w:p>
    <w:p w14:paraId="1F93C66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网址：www.jhzq.com.cn</w:t>
      </w:r>
    </w:p>
    <w:p w14:paraId="032FB0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6) 民生证券</w:t>
      </w:r>
    </w:p>
    <w:p w14:paraId="579B3F0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注册地址：北京市东城区建国门内大街28号民生金融中心A座16层-18层</w:t>
      </w:r>
    </w:p>
    <w:p w14:paraId="79CD2A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办公地址：北京市东城区建国门内大街28号民生金融中心A座16-20层</w:t>
      </w:r>
    </w:p>
    <w:p w14:paraId="4EE2CF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法定代表人：冯鹤年</w:t>
      </w:r>
    </w:p>
    <w:p w14:paraId="6E422B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联系人：韩秀萍</w:t>
      </w:r>
    </w:p>
    <w:p w14:paraId="7B7938E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联系电话：010-85127609</w:t>
      </w:r>
    </w:p>
    <w:p w14:paraId="7487F6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客户服务电话：95376</w:t>
      </w:r>
    </w:p>
    <w:p w14:paraId="1F070E4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网址：www.mszq.com</w:t>
      </w:r>
    </w:p>
    <w:p w14:paraId="6CBB3B3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7) 银河证券</w:t>
      </w:r>
    </w:p>
    <w:p w14:paraId="65DB98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注册地址：北京市西城区金融大街35号2-6层</w:t>
      </w:r>
    </w:p>
    <w:p w14:paraId="3467FA3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办公地址：北京市西城区金融大街35号国际企业大厦C座</w:t>
      </w:r>
    </w:p>
    <w:p w14:paraId="13F7BE3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法定代表人：陈共炎</w:t>
      </w:r>
    </w:p>
    <w:p w14:paraId="224A20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联系人：辛国政</w:t>
      </w:r>
    </w:p>
    <w:p w14:paraId="10C6D4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联系电话：010-83574507</w:t>
      </w:r>
    </w:p>
    <w:p w14:paraId="36DE0B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客户服务电话：4008-888-888或95551</w:t>
      </w:r>
    </w:p>
    <w:p w14:paraId="7F6DBC3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传真：010-66568532</w:t>
      </w:r>
    </w:p>
    <w:p w14:paraId="2FDB942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网址：www.chinastock.com.cn</w:t>
      </w:r>
    </w:p>
    <w:p w14:paraId="15D073B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8) 浙商证券</w:t>
      </w:r>
    </w:p>
    <w:p w14:paraId="78F406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注册地址：浙江省杭州市江干区五星路201号</w:t>
      </w:r>
    </w:p>
    <w:p w14:paraId="44AA403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办公地址：浙江省杭州市江干区五星路201号浙商证券大楼8楼</w:t>
      </w:r>
    </w:p>
    <w:p w14:paraId="526EE8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法定代表人：吴承根</w:t>
      </w:r>
    </w:p>
    <w:p w14:paraId="03D1EB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联系人：高扬</w:t>
      </w:r>
    </w:p>
    <w:p w14:paraId="274907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联系电话：057187902974</w:t>
      </w:r>
    </w:p>
    <w:p w14:paraId="37C309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客户服务电话：95345</w:t>
      </w:r>
    </w:p>
    <w:p w14:paraId="50557E9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传真：0571-87901913</w:t>
      </w:r>
    </w:p>
    <w:p w14:paraId="7AE55E0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网址：www.stocke.com.cn</w:t>
      </w:r>
    </w:p>
    <w:p w14:paraId="4C55658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9) 中信证券</w:t>
      </w:r>
    </w:p>
    <w:p w14:paraId="032583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注册地址：广东省深圳市福田区中心三路8号卓越时代广场（二期）北座</w:t>
      </w:r>
    </w:p>
    <w:p w14:paraId="5130B9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办公地址：北京市朝阳区亮马桥路48号中信证券大厦</w:t>
      </w:r>
    </w:p>
    <w:p w14:paraId="554C44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法定代表人：张佑君</w:t>
      </w:r>
    </w:p>
    <w:p w14:paraId="69F461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 xml:space="preserve">联系人：王一通 </w:t>
      </w:r>
    </w:p>
    <w:p w14:paraId="5F3AB60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联系电话：010-60838888</w:t>
      </w:r>
    </w:p>
    <w:p w14:paraId="6A6754F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客户服务电话：95548</w:t>
      </w:r>
    </w:p>
    <w:p w14:paraId="193330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传真：010-60836029</w:t>
      </w:r>
    </w:p>
    <w:p w14:paraId="5BD264A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网址：www.cs.ecitic.com</w:t>
      </w:r>
    </w:p>
    <w:p w14:paraId="316D305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10) 中信证券（山东）</w:t>
      </w:r>
    </w:p>
    <w:p w14:paraId="44E45E3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注册地址：青岛市崂山区深圳路222号1号楼2001</w:t>
      </w:r>
    </w:p>
    <w:p w14:paraId="07FFFB7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办公地址：青岛市市南区东海西路28号龙翔广场东座5层</w:t>
      </w:r>
    </w:p>
    <w:p w14:paraId="025ECBA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法定代表人：姜晓林</w:t>
      </w:r>
    </w:p>
    <w:p w14:paraId="09B70A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联系人：焦刚</w:t>
      </w:r>
    </w:p>
    <w:p w14:paraId="4E0871E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联系电话：0531-89606166</w:t>
      </w:r>
    </w:p>
    <w:p w14:paraId="3506A7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客户服务电话：95548</w:t>
      </w:r>
    </w:p>
    <w:p w14:paraId="5B4400E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传真：0532-85022605</w:t>
      </w:r>
    </w:p>
    <w:p w14:paraId="5AE393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网址：http://sd.citics.com/</w:t>
      </w:r>
    </w:p>
    <w:p w14:paraId="67AEEE8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11) 大智慧基金</w:t>
      </w:r>
    </w:p>
    <w:p w14:paraId="3D01551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注册地址：中国（上海）自由贸易试验区杨高南路428号1号楼1102单元</w:t>
      </w:r>
    </w:p>
    <w:p w14:paraId="7729EEA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办公地址：中国（上海）自由贸易试验区杨高南路428号1号楼1102单元</w:t>
      </w:r>
    </w:p>
    <w:p w14:paraId="1EB474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法定代表人：申健</w:t>
      </w:r>
    </w:p>
    <w:p w14:paraId="0BF2908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联系人：张蜓</w:t>
      </w:r>
    </w:p>
    <w:p w14:paraId="739E74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联系电话：021-20219988-35374</w:t>
      </w:r>
    </w:p>
    <w:p w14:paraId="20DA434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客户服务电话：021-20292031</w:t>
      </w:r>
    </w:p>
    <w:p w14:paraId="705499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传真：021-20219923</w:t>
      </w:r>
    </w:p>
    <w:p w14:paraId="7899086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网址：https://www.wg.com.cn/</w:t>
      </w:r>
    </w:p>
    <w:p w14:paraId="21E3F68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12) 蛋卷基金</w:t>
      </w:r>
    </w:p>
    <w:p w14:paraId="4174E8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注册地址：北京市朝阳区阜通东大街1号院6号楼2单元21层222507</w:t>
      </w:r>
    </w:p>
    <w:p w14:paraId="3CF9894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办公地址：北京市朝阳区阜通东大街1号院6号楼2单元21层222507</w:t>
      </w:r>
    </w:p>
    <w:p w14:paraId="4C148CD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法定代表人：钟斐斐</w:t>
      </w:r>
    </w:p>
    <w:p w14:paraId="4B6AD27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联系人：侯芳芳</w:t>
      </w:r>
    </w:p>
    <w:p w14:paraId="5C19F7D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联系电话：010-61840688</w:t>
      </w:r>
    </w:p>
    <w:p w14:paraId="6B45418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客户服务电话：4001599288</w:t>
      </w:r>
    </w:p>
    <w:p w14:paraId="5AEEC24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网址：https://danjuanapp.com</w:t>
      </w:r>
    </w:p>
    <w:p w14:paraId="149F5A6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13) 汇成基金</w:t>
      </w:r>
    </w:p>
    <w:p w14:paraId="405D22D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注册地址：北京市海淀区中关村大街11号11层1108号</w:t>
      </w:r>
    </w:p>
    <w:p w14:paraId="500EC6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办公地址：北京市西城区西直门外大街1号院2号楼 19层 19C13</w:t>
      </w:r>
    </w:p>
    <w:p w14:paraId="61E058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法定代表人：王伟刚</w:t>
      </w:r>
    </w:p>
    <w:p w14:paraId="76AAA3C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联系人：王骁骁</w:t>
      </w:r>
    </w:p>
    <w:p w14:paraId="0B5ADC4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联系电话：01056251471</w:t>
      </w:r>
    </w:p>
    <w:p w14:paraId="37C1130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客户服务电话：400-619-9059</w:t>
      </w:r>
    </w:p>
    <w:p w14:paraId="0503530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网址：www.hcjijin.com</w:t>
      </w:r>
    </w:p>
    <w:p w14:paraId="6B94ED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14) 陆基金</w:t>
      </w:r>
    </w:p>
    <w:p w14:paraId="4B66B15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注册地址：中国（上海）自由贸易试验区陆家嘴环路1333号14楼09单元</w:t>
      </w:r>
    </w:p>
    <w:p w14:paraId="3DAF336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办公地址：中国（上海）自由贸易试验区陆家嘴环路1333号14楼09单元</w:t>
      </w:r>
    </w:p>
    <w:p w14:paraId="0553982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法定代表人：王之光</w:t>
      </w:r>
    </w:p>
    <w:p w14:paraId="7300468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联系人：宁博宇</w:t>
      </w:r>
    </w:p>
    <w:p w14:paraId="6C9DFA9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联系电话：021-20665952</w:t>
      </w:r>
    </w:p>
    <w:p w14:paraId="03A3350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客户服务电话：4008219031</w:t>
      </w:r>
    </w:p>
    <w:p w14:paraId="2735C34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传真：021-22066653</w:t>
      </w:r>
    </w:p>
    <w:p w14:paraId="5491590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网址：www.lufunds.com</w:t>
      </w:r>
    </w:p>
    <w:p w14:paraId="671234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15) 蚂蚁基金</w:t>
      </w:r>
    </w:p>
    <w:p w14:paraId="4084019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注册地址：浙江省杭州市余杭区五常街道文一西路969号3幢5层599室</w:t>
      </w:r>
    </w:p>
    <w:p w14:paraId="233EEE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办公地址：浙江省杭州市西湖区万塘路18号黄龙时代广场B座6F</w:t>
      </w:r>
    </w:p>
    <w:p w14:paraId="405937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法定代表人：祖国明</w:t>
      </w:r>
    </w:p>
    <w:p w14:paraId="39BBB27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联系人：韩爱彬</w:t>
      </w:r>
    </w:p>
    <w:p w14:paraId="70BA352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联系电话：0571-26888888</w:t>
      </w:r>
    </w:p>
    <w:p w14:paraId="3296F72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客户服务电话：4000-766-123</w:t>
      </w:r>
    </w:p>
    <w:p w14:paraId="6494A4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网址：http://www.fund123.cn/</w:t>
      </w:r>
    </w:p>
    <w:p w14:paraId="3575D7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16) 苏宁基金</w:t>
      </w:r>
    </w:p>
    <w:p w14:paraId="04E0B48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注册地址：南京市玄武区苏宁大道1-5号</w:t>
      </w:r>
    </w:p>
    <w:p w14:paraId="3B7AC2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办公地址：南京市玄武区苏宁大道1-5号</w:t>
      </w:r>
    </w:p>
    <w:p w14:paraId="6F8BA86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法定代表人：王锋</w:t>
      </w:r>
    </w:p>
    <w:p w14:paraId="5BC7BE9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联系人：张云飞</w:t>
      </w:r>
    </w:p>
    <w:p w14:paraId="18E8BF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联系电话：025-66996699-882796</w:t>
      </w:r>
    </w:p>
    <w:p w14:paraId="3416576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客户服务电话：95177</w:t>
      </w:r>
    </w:p>
    <w:p w14:paraId="582418D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网址：www.snjijin.com</w:t>
      </w:r>
    </w:p>
    <w:p w14:paraId="7BDA6E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17) 腾安基金</w:t>
      </w:r>
    </w:p>
    <w:p w14:paraId="05DBDDF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注册地址：深圳市前海深港合作区前湾一路1号A栋201室（入驻深圳市前海商务秘书有限公司）</w:t>
      </w:r>
    </w:p>
    <w:p w14:paraId="5EDE2F4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办公地址：深圳市南山区海天二路33号腾讯滨海大厦15楼</w:t>
      </w:r>
    </w:p>
    <w:p w14:paraId="0CC9AB7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法定代表人：刘明军</w:t>
      </w:r>
    </w:p>
    <w:p w14:paraId="2FC4A05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联系人：谭广锋</w:t>
      </w:r>
    </w:p>
    <w:p w14:paraId="25472F5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客户服务电话：95017（拨通后转1转8）</w:t>
      </w:r>
    </w:p>
    <w:p w14:paraId="36EF4C3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公司网址：https://www.txfund.com/</w:t>
      </w:r>
    </w:p>
    <w:p w14:paraId="154B6AE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18) 天天基金</w:t>
      </w:r>
    </w:p>
    <w:p w14:paraId="09516EC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注册地址：上海市徐汇区龙田路190号2号楼2层</w:t>
      </w:r>
    </w:p>
    <w:p w14:paraId="14144F2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办公地址：上海市徐汇区宛平南路88号东方财富大厦</w:t>
      </w:r>
    </w:p>
    <w:p w14:paraId="6A2CF96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法定代表人：其实</w:t>
      </w:r>
    </w:p>
    <w:p w14:paraId="5A69091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联系人：潘世友</w:t>
      </w:r>
    </w:p>
    <w:p w14:paraId="0A8F5A7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联系电话：021-54509977</w:t>
      </w:r>
    </w:p>
    <w:p w14:paraId="388DE17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客户服务电话：95021</w:t>
      </w:r>
    </w:p>
    <w:p w14:paraId="360F7D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传真：021-64385308</w:t>
      </w:r>
    </w:p>
    <w:p w14:paraId="0B4CA23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网址：www.1234567.com.cn</w:t>
      </w:r>
    </w:p>
    <w:p w14:paraId="15F7A7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19) 同花顺</w:t>
      </w:r>
    </w:p>
    <w:p w14:paraId="58E716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注册地址：浙江省杭州市文二西路1号903室</w:t>
      </w:r>
    </w:p>
    <w:p w14:paraId="3469F50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办公地址：杭州市余杭区五常街道同顺街18号同花顺大楼4层</w:t>
      </w:r>
    </w:p>
    <w:p w14:paraId="5FE8DBF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法定代表人：吴强</w:t>
      </w:r>
    </w:p>
    <w:p w14:paraId="034B59D7"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联系人：吴强</w:t>
      </w:r>
    </w:p>
    <w:p w14:paraId="7CC24F0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联系电话：0571-88911818</w:t>
      </w:r>
    </w:p>
    <w:p w14:paraId="455F2CD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客户服务电话：4008-773-772</w:t>
      </w:r>
    </w:p>
    <w:p w14:paraId="6F482EC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传真：0571-86800423</w:t>
      </w:r>
    </w:p>
    <w:p w14:paraId="3F36D5F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网址：www.5ifund.com</w:t>
      </w:r>
    </w:p>
    <w:p w14:paraId="35BA55F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20) 盈米基金</w:t>
      </w:r>
    </w:p>
    <w:p w14:paraId="4881CA2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注册地址：珠海市横琴新区宝华路6号105室-3491</w:t>
      </w:r>
    </w:p>
    <w:p w14:paraId="36348A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办公地址：广州市海珠区琶洲大道东路1号保利国际广场南塔1201-1203室</w:t>
      </w:r>
    </w:p>
    <w:p w14:paraId="18C10F1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法定代表人：肖雯</w:t>
      </w:r>
    </w:p>
    <w:p w14:paraId="416BC88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联系人：邱湘湘</w:t>
      </w:r>
    </w:p>
    <w:p w14:paraId="5EF8DC9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联系电话：020-89629099</w:t>
      </w:r>
    </w:p>
    <w:p w14:paraId="0C32E51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客户服务电话：020-89629066</w:t>
      </w:r>
    </w:p>
    <w:p w14:paraId="178AAC1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传真：020-89629011</w:t>
      </w:r>
    </w:p>
    <w:p w14:paraId="3DF801C9"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网址：www.yingmi.cn</w:t>
      </w:r>
    </w:p>
    <w:p w14:paraId="6E694E4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21) 中信期货</w:t>
      </w:r>
    </w:p>
    <w:p w14:paraId="58ED57A8"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注册地址：广东省深圳市福田区中心三路8号卓越时代广场（二期）北座13层1301-1305室、14层</w:t>
      </w:r>
    </w:p>
    <w:p w14:paraId="24489BB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办公地址：深圳市福田区中心三路8号卓越时代广场（二期）北座13层1301-1305室、14层</w:t>
      </w:r>
    </w:p>
    <w:p w14:paraId="108B044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法定代表人：张皓</w:t>
      </w:r>
    </w:p>
    <w:p w14:paraId="40305C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联系人：刘宏莹</w:t>
      </w:r>
    </w:p>
    <w:p w14:paraId="1A69EC5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联系电话：010-6083 3754</w:t>
      </w:r>
    </w:p>
    <w:p w14:paraId="6C9C32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客户服务电话：400-990-8826</w:t>
      </w:r>
    </w:p>
    <w:p w14:paraId="3F4A262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传真：021-60819988</w:t>
      </w:r>
    </w:p>
    <w:p w14:paraId="1AA57A5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网址：http://www.citicsf.com/</w:t>
      </w:r>
    </w:p>
    <w:p w14:paraId="15727B8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（3）A类美元现汇基金份额</w:t>
      </w:r>
    </w:p>
    <w:p w14:paraId="63FACA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 交通银行</w:t>
      </w:r>
    </w:p>
    <w:p w14:paraId="2729422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注册地址：中国（上海）自由贸易试验区银城中路188号</w:t>
      </w:r>
    </w:p>
    <w:p w14:paraId="74DAECA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办公地址：中国（上海）自由贸易试验区银城中路188号</w:t>
      </w:r>
    </w:p>
    <w:p w14:paraId="0DB524B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法定代表人：彭纯</w:t>
      </w:r>
    </w:p>
    <w:p w14:paraId="794DA7B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联系人：王菁</w:t>
      </w:r>
    </w:p>
    <w:p w14:paraId="332701C6"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联系电话：021-58781234</w:t>
      </w:r>
    </w:p>
    <w:p w14:paraId="7A7BE61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客户服务电话：95559</w:t>
      </w:r>
    </w:p>
    <w:p w14:paraId="7E35EB8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网址：www.bankcomm.com</w:t>
      </w:r>
    </w:p>
    <w:p w14:paraId="759A3DE3"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 中国工商银行</w:t>
      </w:r>
    </w:p>
    <w:p w14:paraId="39451A30"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注册地址：北京西城区复兴门内大街55号</w:t>
      </w:r>
    </w:p>
    <w:p w14:paraId="2B0A6C7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办公地址：北京西城区复兴门内大街55号</w:t>
      </w:r>
    </w:p>
    <w:p w14:paraId="49F0FB6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法定代表人：陈四清</w:t>
      </w:r>
    </w:p>
    <w:p w14:paraId="3CEAAD1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联系人：杨菲</w:t>
      </w:r>
    </w:p>
    <w:p w14:paraId="11FFF89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客户服务电话：95588</w:t>
      </w:r>
    </w:p>
    <w:p w14:paraId="23EFB402"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网址：www.icbc.com.cn</w:t>
      </w:r>
    </w:p>
    <w:p w14:paraId="3DD988B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3) 中国建设银行</w:t>
      </w:r>
    </w:p>
    <w:p w14:paraId="5D5DD19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注册地址：北京市西城区金融大街25号</w:t>
      </w:r>
    </w:p>
    <w:p w14:paraId="733E0E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办公地址：北京市西城区闹市口大街1号院1号楼</w:t>
      </w:r>
    </w:p>
    <w:p w14:paraId="2EBD635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法定代表人：田国立</w:t>
      </w:r>
    </w:p>
    <w:p w14:paraId="3299BDEE"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联系人：王未雨</w:t>
      </w:r>
    </w:p>
    <w:p w14:paraId="4F18107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客户服务电话：95533</w:t>
      </w:r>
    </w:p>
    <w:p w14:paraId="693C066F"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网址：www.ccb.com</w:t>
      </w:r>
    </w:p>
    <w:p w14:paraId="6E791F1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（4）A类美元现钞基金份额</w:t>
      </w:r>
    </w:p>
    <w:p w14:paraId="37AB2E3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1) 交通银行</w:t>
      </w:r>
    </w:p>
    <w:p w14:paraId="3D17F07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注册地址：中国（上海）自由贸易试验区银城中路188号</w:t>
      </w:r>
    </w:p>
    <w:p w14:paraId="5A7180F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办公地址：中国（上海）自由贸易试验区银城中路188号</w:t>
      </w:r>
    </w:p>
    <w:p w14:paraId="4F6E4FBD"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法定代表人：彭纯</w:t>
      </w:r>
    </w:p>
    <w:p w14:paraId="55F5D9BB"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联系人：王菁</w:t>
      </w:r>
    </w:p>
    <w:p w14:paraId="53AEAD21"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联系电话：021-58781234</w:t>
      </w:r>
    </w:p>
    <w:p w14:paraId="6F34AECA"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客户服务电话：95559</w:t>
      </w:r>
    </w:p>
    <w:p w14:paraId="5322797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网址：www.bankcomm.com</w:t>
      </w:r>
    </w:p>
    <w:p w14:paraId="6C9B7EDC"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2) 中国建设银行</w:t>
      </w:r>
    </w:p>
    <w:p w14:paraId="245E9E9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注册地址：北京市西城区金融大街25号</w:t>
      </w:r>
    </w:p>
    <w:p w14:paraId="5CF679E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办公地址：北京市西城区闹市口大街1号院1号楼</w:t>
      </w:r>
    </w:p>
    <w:p w14:paraId="76AF0FC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法定代表人：田国立</w:t>
      </w:r>
    </w:p>
    <w:p w14:paraId="34FCE0A5"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联系人：王未雨</w:t>
      </w:r>
    </w:p>
    <w:p w14:paraId="6442D8F4" w14:textId="77777777" w:rsidR="0023170B" w:rsidRPr="00487553" w:rsidRDefault="0023170B" w:rsidP="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客户服务电话：95533</w:t>
      </w:r>
    </w:p>
    <w:p w14:paraId="1FCA62AE" w14:textId="16191D08" w:rsidR="0023170B" w:rsidRPr="00487553" w:rsidRDefault="0023170B">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网址：www.ccb.com</w:t>
      </w:r>
    </w:p>
    <w:p w14:paraId="7A0E4436" w14:textId="73CD88A5" w:rsidR="0064594E" w:rsidRPr="00487553" w:rsidRDefault="0064594E" w:rsidP="001016DC">
      <w:pPr>
        <w:pStyle w:val="2"/>
        <w:numPr>
          <w:ilvl w:val="0"/>
          <w:numId w:val="30"/>
        </w:numPr>
        <w:snapToGrid w:val="0"/>
        <w:spacing w:beforeLines="0" w:afterLines="0" w:line="360" w:lineRule="auto"/>
        <w:ind w:firstLineChars="0"/>
        <w:rPr>
          <w:rFonts w:asciiTheme="minorEastAsia" w:eastAsiaTheme="minorEastAsia" w:hAnsiTheme="minorEastAsia"/>
        </w:rPr>
      </w:pPr>
      <w:bookmarkStart w:id="1200" w:name="_Toc350861944"/>
      <w:bookmarkStart w:id="1201" w:name="_Toc350862148"/>
      <w:bookmarkStart w:id="1202" w:name="_Toc350874226"/>
      <w:bookmarkStart w:id="1203" w:name="_Toc296527058"/>
      <w:bookmarkStart w:id="1204" w:name="_Toc38432429"/>
      <w:bookmarkStart w:id="1205" w:name="_Toc296527059"/>
      <w:bookmarkStart w:id="1206" w:name="_Toc306614288"/>
      <w:bookmarkStart w:id="1207" w:name="_Toc20148501"/>
      <w:bookmarkEnd w:id="1200"/>
      <w:bookmarkEnd w:id="1201"/>
      <w:bookmarkEnd w:id="1202"/>
      <w:bookmarkEnd w:id="1203"/>
      <w:r w:rsidRPr="00487553">
        <w:rPr>
          <w:rFonts w:asciiTheme="minorEastAsia" w:eastAsiaTheme="minorEastAsia" w:hAnsiTheme="minorEastAsia"/>
        </w:rPr>
        <w:t>基金</w:t>
      </w:r>
      <w:r w:rsidR="00275A9F" w:rsidRPr="00487553">
        <w:rPr>
          <w:rFonts w:asciiTheme="minorEastAsia" w:eastAsiaTheme="minorEastAsia" w:hAnsiTheme="minorEastAsia" w:hint="eastAsia"/>
        </w:rPr>
        <w:t>注册</w:t>
      </w:r>
      <w:r w:rsidRPr="00487553">
        <w:rPr>
          <w:rFonts w:asciiTheme="minorEastAsia" w:eastAsiaTheme="minorEastAsia" w:hAnsiTheme="minorEastAsia"/>
        </w:rPr>
        <w:t>登记机构</w:t>
      </w:r>
      <w:bookmarkEnd w:id="1204"/>
      <w:bookmarkEnd w:id="1205"/>
      <w:bookmarkEnd w:id="1206"/>
      <w:bookmarkEnd w:id="1207"/>
    </w:p>
    <w:p w14:paraId="105BD078" w14:textId="77777777" w:rsidR="00301103" w:rsidRPr="00487553" w:rsidRDefault="003011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名称：易方达基金管理有限公司</w:t>
      </w:r>
    </w:p>
    <w:p w14:paraId="2D594105" w14:textId="77777777" w:rsidR="003D4CA8" w:rsidRPr="00487553" w:rsidRDefault="003D4CA8"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注册地址：</w:t>
      </w:r>
      <w:r w:rsidR="00666D72" w:rsidRPr="00487553">
        <w:rPr>
          <w:rStyle w:val="da"/>
          <w:rFonts w:asciiTheme="minorEastAsia" w:eastAsiaTheme="minorEastAsia" w:hAnsiTheme="minorEastAsia" w:hint="eastAsia"/>
          <w:szCs w:val="21"/>
        </w:rPr>
        <w:t>广东省珠海市横琴新区宝华路6号105室－42891（集中办公区）</w:t>
      </w:r>
    </w:p>
    <w:p w14:paraId="542023D9" w14:textId="77777777" w:rsidR="00301103" w:rsidRPr="00487553" w:rsidRDefault="003D4CA8"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办公地址：广州市天河区珠江新城珠江东路30号广州银行大厦40-43楼</w:t>
      </w:r>
    </w:p>
    <w:p w14:paraId="700C1D29" w14:textId="77777777" w:rsidR="00301103" w:rsidRPr="00487553" w:rsidRDefault="003011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法定代表人：</w:t>
      </w:r>
      <w:r w:rsidR="009A7A7C" w:rsidRPr="00487553">
        <w:rPr>
          <w:rFonts w:asciiTheme="minorEastAsia" w:eastAsiaTheme="minorEastAsia" w:hAnsiTheme="minorEastAsia" w:hint="eastAsia"/>
          <w:szCs w:val="21"/>
        </w:rPr>
        <w:t>刘晓艳</w:t>
      </w:r>
    </w:p>
    <w:p w14:paraId="1BC7AC3A" w14:textId="77777777" w:rsidR="00301103" w:rsidRPr="00487553" w:rsidRDefault="003011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电话：4008818088</w:t>
      </w:r>
    </w:p>
    <w:p w14:paraId="5626EA23" w14:textId="77777777" w:rsidR="00301103" w:rsidRPr="00487553" w:rsidRDefault="003011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w:t>
      </w:r>
      <w:r w:rsidRPr="00487553">
        <w:rPr>
          <w:rFonts w:asciiTheme="minorEastAsia" w:eastAsiaTheme="minorEastAsia" w:hAnsiTheme="minorEastAsia"/>
          <w:szCs w:val="21"/>
        </w:rPr>
        <w:t>020</w:t>
      </w:r>
      <w:r w:rsidRPr="00487553">
        <w:rPr>
          <w:rFonts w:asciiTheme="minorEastAsia" w:eastAsiaTheme="minorEastAsia" w:hAnsiTheme="minorEastAsia" w:hint="eastAsia"/>
          <w:szCs w:val="21"/>
        </w:rPr>
        <w:t>-38799249</w:t>
      </w:r>
    </w:p>
    <w:p w14:paraId="2DF11BFB" w14:textId="1AA4622C" w:rsidR="00301103" w:rsidRPr="00487553" w:rsidRDefault="003011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联系人：余贤高</w:t>
      </w:r>
    </w:p>
    <w:p w14:paraId="15CB28CE" w14:textId="77777777" w:rsidR="0064594E" w:rsidRPr="00487553" w:rsidRDefault="009138F2" w:rsidP="001016DC">
      <w:pPr>
        <w:pStyle w:val="2"/>
        <w:numPr>
          <w:ilvl w:val="0"/>
          <w:numId w:val="30"/>
        </w:numPr>
        <w:snapToGrid w:val="0"/>
        <w:spacing w:beforeLines="0" w:afterLines="0" w:line="360" w:lineRule="auto"/>
        <w:ind w:firstLineChars="0"/>
        <w:rPr>
          <w:rFonts w:asciiTheme="minorEastAsia" w:eastAsiaTheme="minorEastAsia" w:hAnsiTheme="minorEastAsia"/>
        </w:rPr>
      </w:pPr>
      <w:bookmarkStart w:id="1208" w:name="_Toc38432430"/>
      <w:bookmarkStart w:id="1209" w:name="_Toc296527060"/>
      <w:bookmarkStart w:id="1210" w:name="_Toc306614289"/>
      <w:bookmarkStart w:id="1211" w:name="_Toc20148502"/>
      <w:r w:rsidRPr="00487553">
        <w:rPr>
          <w:rFonts w:asciiTheme="minorEastAsia" w:eastAsiaTheme="minorEastAsia" w:hAnsiTheme="minorEastAsia" w:hint="eastAsia"/>
        </w:rPr>
        <w:t>出具法律意见书的</w:t>
      </w:r>
      <w:r w:rsidR="0064594E" w:rsidRPr="00487553">
        <w:rPr>
          <w:rFonts w:asciiTheme="minorEastAsia" w:eastAsiaTheme="minorEastAsia" w:hAnsiTheme="minorEastAsia"/>
        </w:rPr>
        <w:t>律师事务所</w:t>
      </w:r>
      <w:bookmarkEnd w:id="1208"/>
      <w:bookmarkEnd w:id="1209"/>
      <w:bookmarkEnd w:id="1210"/>
      <w:bookmarkEnd w:id="1211"/>
    </w:p>
    <w:p w14:paraId="2DE9184A"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律师事务所：上海市通力律师事务所</w:t>
      </w:r>
    </w:p>
    <w:p w14:paraId="6255A439" w14:textId="77777777" w:rsidR="009138F2"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地址：</w:t>
      </w:r>
      <w:r w:rsidR="009138F2" w:rsidRPr="00487553">
        <w:rPr>
          <w:rFonts w:asciiTheme="minorEastAsia" w:eastAsiaTheme="minorEastAsia" w:hAnsiTheme="minorEastAsia"/>
          <w:szCs w:val="21"/>
        </w:rPr>
        <w:t>上海市浦东新区银城中路68号</w:t>
      </w:r>
      <w:r w:rsidR="009138F2" w:rsidRPr="00487553">
        <w:rPr>
          <w:rFonts w:asciiTheme="minorEastAsia" w:eastAsiaTheme="minorEastAsia" w:hAnsiTheme="minorEastAsia" w:hint="eastAsia"/>
          <w:szCs w:val="21"/>
        </w:rPr>
        <w:t>时代金融中心</w:t>
      </w:r>
      <w:r w:rsidR="009138F2" w:rsidRPr="00487553">
        <w:rPr>
          <w:rFonts w:asciiTheme="minorEastAsia" w:eastAsiaTheme="minorEastAsia" w:hAnsiTheme="minorEastAsia"/>
          <w:szCs w:val="21"/>
        </w:rPr>
        <w:t>19楼</w:t>
      </w:r>
    </w:p>
    <w:p w14:paraId="0A8A1AA4"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负责人：韩炯</w:t>
      </w:r>
    </w:p>
    <w:p w14:paraId="6F2CC9AF"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电话：（021）31358666</w:t>
      </w:r>
    </w:p>
    <w:p w14:paraId="2442430D"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传真：（021）31358600</w:t>
      </w:r>
    </w:p>
    <w:p w14:paraId="1D130298"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经办律师：吕红、安冬</w:t>
      </w:r>
    </w:p>
    <w:p w14:paraId="7D5755E2" w14:textId="77777777" w:rsidR="00547803" w:rsidRPr="00487553" w:rsidRDefault="00547803" w:rsidP="00D94E68">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szCs w:val="21"/>
        </w:rPr>
        <w:t>联系人：安冬</w:t>
      </w:r>
    </w:p>
    <w:p w14:paraId="1A86C90C" w14:textId="77777777" w:rsidR="00680723" w:rsidRPr="00487553" w:rsidRDefault="009138F2" w:rsidP="00EA7C2B">
      <w:pPr>
        <w:pStyle w:val="2"/>
        <w:numPr>
          <w:ilvl w:val="0"/>
          <w:numId w:val="30"/>
        </w:numPr>
        <w:snapToGrid w:val="0"/>
        <w:spacing w:beforeLines="0" w:afterLines="0" w:line="360" w:lineRule="auto"/>
        <w:ind w:firstLineChars="0"/>
        <w:rPr>
          <w:rFonts w:asciiTheme="minorEastAsia" w:eastAsiaTheme="minorEastAsia" w:hAnsiTheme="minorEastAsia"/>
        </w:rPr>
      </w:pPr>
      <w:bookmarkStart w:id="1212" w:name="_Toc38432431"/>
      <w:bookmarkStart w:id="1213" w:name="_Toc296527061"/>
      <w:bookmarkStart w:id="1214" w:name="_Toc306614290"/>
      <w:bookmarkStart w:id="1215" w:name="_Toc20148503"/>
      <w:r w:rsidRPr="00487553">
        <w:rPr>
          <w:rFonts w:asciiTheme="minorEastAsia" w:eastAsiaTheme="minorEastAsia" w:hAnsiTheme="minorEastAsia" w:hint="eastAsia"/>
        </w:rPr>
        <w:lastRenderedPageBreak/>
        <w:t>审计基金财产的</w:t>
      </w:r>
      <w:r w:rsidR="0064594E" w:rsidRPr="00487553">
        <w:rPr>
          <w:rFonts w:asciiTheme="minorEastAsia" w:eastAsiaTheme="minorEastAsia" w:hAnsiTheme="minorEastAsia"/>
        </w:rPr>
        <w:t>会计师事务所</w:t>
      </w:r>
      <w:bookmarkEnd w:id="1212"/>
      <w:bookmarkEnd w:id="1213"/>
      <w:bookmarkEnd w:id="1214"/>
      <w:bookmarkEnd w:id="1215"/>
    </w:p>
    <w:p w14:paraId="3FDB9445"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会计师事务所：普华永道中天会计师事务所（特殊普通合伙）</w:t>
      </w:r>
    </w:p>
    <w:p w14:paraId="65D3FCC5"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住所：上海市湖滨路202号普华永道中心11楼</w:t>
      </w:r>
    </w:p>
    <w:p w14:paraId="10950C61"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办公地址：上海市湖滨路202号普华永道中心11楼</w:t>
      </w:r>
    </w:p>
    <w:p w14:paraId="41088D8D"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首席合伙人：李丹</w:t>
      </w:r>
    </w:p>
    <w:p w14:paraId="002B296D"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电话：（021）23238888</w:t>
      </w:r>
    </w:p>
    <w:p w14:paraId="12E0EDDA"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传真：（021）23238800</w:t>
      </w:r>
    </w:p>
    <w:p w14:paraId="5A1180F6" w14:textId="4506A98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经办注册会计师：</w:t>
      </w:r>
      <w:r w:rsidR="00AC51DE" w:rsidRPr="00487553">
        <w:rPr>
          <w:rStyle w:val="da"/>
          <w:rFonts w:asciiTheme="minorEastAsia" w:eastAsiaTheme="minorEastAsia" w:hAnsiTheme="minorEastAsia" w:hint="eastAsia"/>
        </w:rPr>
        <w:t>陈熹</w:t>
      </w:r>
      <w:r w:rsidRPr="00487553">
        <w:rPr>
          <w:rFonts w:asciiTheme="minorEastAsia" w:eastAsiaTheme="minorEastAsia" w:hAnsiTheme="minorEastAsia" w:hint="eastAsia"/>
          <w:szCs w:val="21"/>
        </w:rPr>
        <w:t>、</w:t>
      </w:r>
      <w:r w:rsidRPr="00487553">
        <w:rPr>
          <w:rFonts w:asciiTheme="minorEastAsia" w:eastAsiaTheme="minorEastAsia" w:hAnsiTheme="minorEastAsia" w:hint="eastAsia"/>
        </w:rPr>
        <w:t>周祎</w:t>
      </w:r>
    </w:p>
    <w:p w14:paraId="6C8D517C" w14:textId="77777777" w:rsidR="00680723" w:rsidRPr="00487553" w:rsidRDefault="00680723" w:rsidP="00680723">
      <w:pPr>
        <w:snapToGrid w:val="0"/>
        <w:spacing w:line="360" w:lineRule="auto"/>
        <w:ind w:firstLine="482"/>
        <w:rPr>
          <w:rFonts w:asciiTheme="minorEastAsia" w:eastAsiaTheme="minorEastAsia" w:hAnsiTheme="minorEastAsia"/>
          <w:szCs w:val="21"/>
        </w:rPr>
      </w:pPr>
      <w:r w:rsidRPr="00487553">
        <w:rPr>
          <w:rFonts w:asciiTheme="minorEastAsia" w:eastAsiaTheme="minorEastAsia" w:hAnsiTheme="minorEastAsia" w:hint="eastAsia"/>
          <w:szCs w:val="21"/>
        </w:rPr>
        <w:t>联系人：</w:t>
      </w:r>
      <w:r w:rsidRPr="00487553">
        <w:rPr>
          <w:rFonts w:asciiTheme="minorEastAsia" w:eastAsiaTheme="minorEastAsia" w:hAnsiTheme="minorEastAsia" w:hint="eastAsia"/>
        </w:rPr>
        <w:t>周祎</w:t>
      </w:r>
    </w:p>
    <w:p w14:paraId="047BF896" w14:textId="77777777" w:rsidR="00680723" w:rsidRPr="00487553" w:rsidRDefault="00680723" w:rsidP="00D94E68">
      <w:pPr>
        <w:snapToGrid w:val="0"/>
        <w:spacing w:line="360" w:lineRule="auto"/>
        <w:ind w:firstLine="482"/>
        <w:rPr>
          <w:rFonts w:asciiTheme="minorEastAsia" w:eastAsiaTheme="minorEastAsia" w:hAnsiTheme="minorEastAsia"/>
          <w:szCs w:val="21"/>
        </w:rPr>
      </w:pPr>
    </w:p>
    <w:p w14:paraId="22FC53C2" w14:textId="77777777"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216" w:name="_Toc350861948"/>
      <w:bookmarkStart w:id="1217" w:name="_Toc350862152"/>
      <w:bookmarkStart w:id="1218" w:name="_Toc350874230"/>
      <w:bookmarkStart w:id="1219" w:name="_Toc20148504"/>
      <w:bookmarkEnd w:id="1216"/>
      <w:bookmarkEnd w:id="1217"/>
      <w:bookmarkEnd w:id="1218"/>
      <w:r w:rsidRPr="00487553">
        <w:rPr>
          <w:rFonts w:asciiTheme="minorEastAsia" w:eastAsiaTheme="minorEastAsia" w:hAnsiTheme="minorEastAsia"/>
        </w:rPr>
        <w:lastRenderedPageBreak/>
        <w:t>基金合同</w:t>
      </w:r>
      <w:r w:rsidR="000775FD" w:rsidRPr="00487553">
        <w:rPr>
          <w:rFonts w:asciiTheme="minorEastAsia" w:eastAsiaTheme="minorEastAsia" w:hAnsiTheme="minorEastAsia" w:hint="eastAsia"/>
        </w:rPr>
        <w:t>的</w:t>
      </w:r>
      <w:r w:rsidRPr="00487553">
        <w:rPr>
          <w:rFonts w:asciiTheme="minorEastAsia" w:eastAsiaTheme="minorEastAsia" w:hAnsiTheme="minorEastAsia"/>
        </w:rPr>
        <w:t>内容摘要</w:t>
      </w:r>
      <w:bookmarkEnd w:id="1219"/>
    </w:p>
    <w:p w14:paraId="4525F4F8" w14:textId="77777777" w:rsidR="002E4CA6" w:rsidRPr="00487553" w:rsidRDefault="002E4CA6" w:rsidP="00E40AAB">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一、</w:t>
      </w:r>
      <w:r w:rsidRPr="00487553">
        <w:rPr>
          <w:rFonts w:asciiTheme="minorEastAsia" w:eastAsiaTheme="minorEastAsia" w:hAnsiTheme="minorEastAsia"/>
        </w:rPr>
        <w:t>基金份额持有人</w:t>
      </w:r>
      <w:r w:rsidRPr="00487553">
        <w:rPr>
          <w:rFonts w:asciiTheme="minorEastAsia" w:eastAsiaTheme="minorEastAsia" w:hAnsiTheme="minorEastAsia"/>
          <w:bCs/>
          <w:kern w:val="0"/>
          <w:szCs w:val="20"/>
        </w:rPr>
        <w:t>、基金管理人和基金托管人的权利、义务</w:t>
      </w:r>
    </w:p>
    <w:p w14:paraId="5C33B079" w14:textId="77777777" w:rsidR="002E4CA6" w:rsidRPr="00487553" w:rsidRDefault="002E4CA6" w:rsidP="00D94E68">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（一）基金份额持有人的权利与义务</w:t>
      </w:r>
    </w:p>
    <w:p w14:paraId="4605FEC1"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1、基金份额持有人的权利</w:t>
      </w:r>
    </w:p>
    <w:p w14:paraId="6F0B020F" w14:textId="77777777" w:rsidR="002E4507" w:rsidRPr="00487553" w:rsidRDefault="000775FD" w:rsidP="00D94E68">
      <w:pPr>
        <w:snapToGrid w:val="0"/>
        <w:spacing w:line="360" w:lineRule="auto"/>
        <w:ind w:firstLineChars="200" w:firstLine="420"/>
        <w:rPr>
          <w:rFonts w:asciiTheme="minorEastAsia" w:eastAsiaTheme="minorEastAsia" w:hAnsiTheme="minorEastAsia"/>
          <w:kern w:val="0"/>
          <w:sz w:val="24"/>
        </w:rPr>
      </w:pPr>
      <w:r w:rsidRPr="00487553">
        <w:rPr>
          <w:rFonts w:asciiTheme="minorEastAsia" w:eastAsiaTheme="minorEastAsia" w:hAnsiTheme="minorEastAsia" w:hint="eastAsia"/>
        </w:rPr>
        <w:t>（1）基金投资者持有本基金基金份额的行为本身即表明其对基金合同的承认和接受，基金投资者自依据招募说明书、基金合同取得本基金的的基金份额，即成为基金份额持有人和基金合同当事人，直至其不再持有本基金的基金份额。基金份额持有人作为当事人并不以在基金合同上书面签章为必要条件。</w:t>
      </w:r>
      <w:r w:rsidR="002E4507" w:rsidRPr="00487553">
        <w:rPr>
          <w:rFonts w:asciiTheme="minorEastAsia" w:eastAsiaTheme="minorEastAsia" w:hAnsiTheme="minorEastAsia" w:hint="eastAsia"/>
        </w:rPr>
        <w:t>每份同类别基金份额具有同等的合法权益</w:t>
      </w:r>
      <w:r w:rsidR="002E4507" w:rsidRPr="00487553">
        <w:rPr>
          <w:rFonts w:asciiTheme="minorEastAsia" w:eastAsiaTheme="minorEastAsia" w:hAnsiTheme="minorEastAsia" w:hint="eastAsia"/>
          <w:kern w:val="0"/>
          <w:sz w:val="24"/>
        </w:rPr>
        <w:t>。</w:t>
      </w:r>
    </w:p>
    <w:p w14:paraId="145AF263"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（2）基金份额持有人的权利</w:t>
      </w:r>
    </w:p>
    <w:p w14:paraId="00117A0A"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1）分享基金财产收益；</w:t>
      </w:r>
    </w:p>
    <w:p w14:paraId="39837C58"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2）参与分配清算后的剩余基金财产；</w:t>
      </w:r>
    </w:p>
    <w:p w14:paraId="044603FB" w14:textId="2F56E66F"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3）依法转让或者申请赎回其持有的基金份额；</w:t>
      </w:r>
    </w:p>
    <w:p w14:paraId="0D13644A" w14:textId="33D30FDC"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4）按照规定要求召开基金份额持有人大会；</w:t>
      </w:r>
    </w:p>
    <w:p w14:paraId="3BFB35E3" w14:textId="4314351A"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5）出席或者委派代表出席基金份额持有人大会，对基金份额持有人大会审议事项行使表决权；</w:t>
      </w:r>
    </w:p>
    <w:p w14:paraId="2F4F187D" w14:textId="1AB67108"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6）按照目标ETF基金合同的约定出席或者委派代表出席目标ETF基金份额持有人大会并对目标ETF基金份额持有人大会审议事项行使表决权；</w:t>
      </w:r>
    </w:p>
    <w:p w14:paraId="086B30C8"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7）查阅或者复制公开披露的基金信息资料；</w:t>
      </w:r>
    </w:p>
    <w:p w14:paraId="133B1312"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8）监督基金管理人的投资运作；</w:t>
      </w:r>
    </w:p>
    <w:p w14:paraId="5C5745AC"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9）对基金管理人、基金托管人、注册登记机构、基金份额发售机构损害其合法权益的行为依法提起诉讼；</w:t>
      </w:r>
    </w:p>
    <w:p w14:paraId="1B18B0CD" w14:textId="77777777" w:rsidR="002E4CA6"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10）法律法规、基金合同规定的其它权利。</w:t>
      </w:r>
    </w:p>
    <w:p w14:paraId="1D436FBB"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2、基金份额持有人的义务</w:t>
      </w:r>
    </w:p>
    <w:p w14:paraId="3F2228CF"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（1）遵守基金合同；</w:t>
      </w:r>
    </w:p>
    <w:p w14:paraId="1C8458CE"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（2）交纳基金认购、申购款项及基金合同规定的费用；</w:t>
      </w:r>
    </w:p>
    <w:p w14:paraId="1C4F94E1"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（3）在持有的基金份额范围内，承担基金亏损或者基金合同终止的有限责任；</w:t>
      </w:r>
    </w:p>
    <w:p w14:paraId="340F3E80"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（4）不从事任何有损基金及其他基金合同当事人合法利益的活动；</w:t>
      </w:r>
    </w:p>
    <w:p w14:paraId="47DD8845"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（5）执行生效的基金份额持有人大会决议；</w:t>
      </w:r>
    </w:p>
    <w:p w14:paraId="18C19BC1" w14:textId="77777777" w:rsidR="000775FD"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（6）返还在基金交易过程中因任何原因，自基金管理人、基金托管人、代销机构及其他基金份额持有人处获得的不当得利；</w:t>
      </w:r>
    </w:p>
    <w:p w14:paraId="5681090A" w14:textId="77777777" w:rsidR="002E4CA6" w:rsidRPr="00487553" w:rsidRDefault="000775F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（7）法律法规、中国证监会和基金合同规定的其他义务。</w:t>
      </w:r>
    </w:p>
    <w:p w14:paraId="2F449AE0" w14:textId="77777777" w:rsidR="002E4CA6" w:rsidRPr="00487553" w:rsidRDefault="002E4CA6" w:rsidP="00D94E68">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（二）基金管理人的权利与义务</w:t>
      </w:r>
    </w:p>
    <w:p w14:paraId="75F65FD5"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1、基金管理人的权利</w:t>
      </w:r>
    </w:p>
    <w:p w14:paraId="07C77421"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（1）依法申请和募集基金，办理基金备案手续；</w:t>
      </w:r>
    </w:p>
    <w:p w14:paraId="09BED24F"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（2）自基金合同生效之日起，依照法律法规和基金合同独立管理基金财产；</w:t>
      </w:r>
    </w:p>
    <w:p w14:paraId="7896DCA4"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（3）根据法律法规和基金合同的规定，制订、修改并公布有关基金募集、认购、申购、赎回、转托管、基金转换、收益分配等方面的业务规则</w:t>
      </w:r>
      <w:r w:rsidR="00C2354D" w:rsidRPr="00487553">
        <w:rPr>
          <w:rFonts w:asciiTheme="minorEastAsia" w:eastAsiaTheme="minorEastAsia" w:hAnsiTheme="minorEastAsia" w:hint="eastAsia"/>
        </w:rPr>
        <w:t>，开通人民币、美元之外的其他币种的申购、赎回，或终止人民币之外的其他币种的申购、赎回</w:t>
      </w:r>
      <w:r w:rsidR="003A73AB" w:rsidRPr="00487553">
        <w:rPr>
          <w:rFonts w:asciiTheme="minorEastAsia" w:eastAsiaTheme="minorEastAsia" w:hAnsiTheme="minorEastAsia" w:hint="eastAsia"/>
        </w:rPr>
        <w:t>；</w:t>
      </w:r>
    </w:p>
    <w:p w14:paraId="4E9B6568"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（4）根据法律法规和基金合同的规定获得基金管理费以及法律法规规定或中国证监会批准的其他费用；</w:t>
      </w:r>
    </w:p>
    <w:p w14:paraId="3A8E1AED"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（5）在符合有关法律法规和基金合同的前提下，决定和调整除调高管理费率和托管费率之外的基金相关费率结构和收费方式；</w:t>
      </w:r>
    </w:p>
    <w:p w14:paraId="78ABCF42"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（6）根据法律法规和基金合同之规定销售基金份额；</w:t>
      </w:r>
    </w:p>
    <w:p w14:paraId="723B1D05"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（7）依据法律法规和基金合同的规定监督基金托管人；</w:t>
      </w:r>
    </w:p>
    <w:p w14:paraId="60D5475E"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（8）根据基金合同的规定选择适当的基金代销机构并有权依照代销协议对基金代销机构行为进行必要的监督和检查；</w:t>
      </w:r>
    </w:p>
    <w:p w14:paraId="711FD968"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（9）自行担任基金注册登记机构或选择、更换基金注册登记机构，办理基金注册登记业务，并按照基金合同规定对基金注册登记机构进行必要的监督和检查；</w:t>
      </w:r>
    </w:p>
    <w:p w14:paraId="6DE45913"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（10）在基金合同约定的范围内，拒绝或暂停受理申购和赎回的申请或者延缓支付赎回款项；</w:t>
      </w:r>
    </w:p>
    <w:p w14:paraId="6C3A1620"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（11）在法律法规允许的前提下，为基金份额持有人的利益依法为基金进行融资融券；</w:t>
      </w:r>
    </w:p>
    <w:p w14:paraId="0B6FBCF1"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（12）依据法律法规和基金合同的规定，制订基金收益的分配方案；</w:t>
      </w:r>
    </w:p>
    <w:p w14:paraId="58B03201"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（13）按照法律法规，代表基金对被投资企业行使股东权利，代表基金行使因投资于其它证券所产生的权利；</w:t>
      </w:r>
    </w:p>
    <w:p w14:paraId="7A7B4300"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（14）在基金托管人职责终止时，提名新的基金托管人；</w:t>
      </w:r>
    </w:p>
    <w:p w14:paraId="65C653C1"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（15）依据法律法规和基金合同的规定，召集基金份额持有人大会；</w:t>
      </w:r>
    </w:p>
    <w:p w14:paraId="0487FD97"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（16）以基金管理人名义，代表基金份额持有人利益行使诉讼权利或者实施其他法律行为；</w:t>
      </w:r>
    </w:p>
    <w:p w14:paraId="70184199"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（17）选择、更换律师、审计师、证券经纪商或其他为基金提供服务的外部机构并确定有关费率；</w:t>
      </w:r>
    </w:p>
    <w:p w14:paraId="6D99902D" w14:textId="77777777" w:rsidR="00424F68"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（18）选择、更换基金境外投资顾问；</w:t>
      </w:r>
    </w:p>
    <w:p w14:paraId="373D0975" w14:textId="77777777" w:rsidR="002E4CA6" w:rsidRPr="00487553" w:rsidRDefault="00424F68"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（19）法律法规、基金合同以及依据基金合同制订的其它法律文件所规定的其它权利。</w:t>
      </w:r>
    </w:p>
    <w:p w14:paraId="3BA091C4"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2、基金管理人的义务</w:t>
      </w:r>
    </w:p>
    <w:p w14:paraId="1A04D1E4"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（1）依法募集基金，办理或者委托经中国证监会认定的其他机构代为办理基金份额的发售、申购、赎回和登记事宜；</w:t>
      </w:r>
    </w:p>
    <w:p w14:paraId="45F4C875"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（2）办理基金备案手续；</w:t>
      </w:r>
    </w:p>
    <w:p w14:paraId="5ABB05EC"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（3）自基金合同生效之日起，以诚实信用、勤勉尽责的原则管理和运用基金财产；</w:t>
      </w:r>
    </w:p>
    <w:p w14:paraId="53DF0B45"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（4）配备足够的具有专业资格的人员进行基金投资分析、决策，以专业化的经营方式管理和运作基金财产；</w:t>
      </w:r>
    </w:p>
    <w:p w14:paraId="2EC03C6B"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（5）建立健全内部风险控制、监察与稽核、财务管理及人事管理等制度，保证所管理的基金财产和基金管理人的资产相互独立，对所管理的不同基金和受托资产分别管理、分别记账，进行证券投资；</w:t>
      </w:r>
    </w:p>
    <w:p w14:paraId="1FDAB35C"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（6）除依据《基金法》、基金合同及其他有关规定外，不得以基金财产为自己及任何第三人谋取非法利益，不得委托第三人运作基金财产；</w:t>
      </w:r>
    </w:p>
    <w:p w14:paraId="241F85C6"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（7）依法接受基金托管人的监督；</w:t>
      </w:r>
    </w:p>
    <w:p w14:paraId="685BBCFE"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（8）采取适当合理的措施使计算基金份额认购、申购、赎回价格的方法符合基金合同等法律文件的规定，按照有关规定计算并公告基金份额净值，确定基金份额申购、赎回的价格；</w:t>
      </w:r>
    </w:p>
    <w:p w14:paraId="226E41BA"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（9）严格按照《基金法》、基金合同及其他有关规定，履行信息披露及报告义务；</w:t>
      </w:r>
    </w:p>
    <w:p w14:paraId="7ADC5429"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（10）保守基金商业秘密，不泄露基金投资计划、投资意向等。除《基金法》、基金合同及其他有关规定另有规定外，在基金信息公开披露前，应予以保密，不得向他人泄露；</w:t>
      </w:r>
    </w:p>
    <w:p w14:paraId="71958FB2"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（11）按基金合同确定基金收益分配方案，及时向基金份额持有人分配基金收益；</w:t>
      </w:r>
    </w:p>
    <w:p w14:paraId="11B68199"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（12）按照法律法规和本基金合同的规定受理申购和赎回等申请，及时、足额支付赎回和分红款项；</w:t>
      </w:r>
    </w:p>
    <w:p w14:paraId="21968DA5"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（13）不谋求对上市公司的控股和直接管理；</w:t>
      </w:r>
    </w:p>
    <w:p w14:paraId="27C4BC39"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（14）依据《基金法》、基金合同及其他有关规定召集基金份额持有人大会，或配合基金托管人、基金份额持有人依法召集基金份额持有人大会；</w:t>
      </w:r>
    </w:p>
    <w:p w14:paraId="4175A2E9"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（15）按规定保存基金财产管理业务活动的记录、账册、报表和其他相关资料不少于15年；</w:t>
      </w:r>
    </w:p>
    <w:p w14:paraId="58F79411"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（16）进行基金会计核算并编制基金的财务会计报告；</w:t>
      </w:r>
    </w:p>
    <w:p w14:paraId="2CF83EB2"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（17）编制季度、半年度和年度基金报告；</w:t>
      </w:r>
    </w:p>
    <w:p w14:paraId="4A8A096E"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18）确保需要向基金份额持有人提供的各项文件或资料，能在规定时间内发出；保证投资者能够按照基金合同约定的时间和方式，随时查阅到与基金有关的公开资料，并在支付合理成本的条件下得到有关资料的复印件；</w:t>
      </w:r>
    </w:p>
    <w:p w14:paraId="2C98A7D7"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（19）组织并参加基金财产清算组，参与基金财产的保管、清理、估价、变现和分配；</w:t>
      </w:r>
    </w:p>
    <w:p w14:paraId="776BA5A4"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（20）面临解散、依法被撤销、被依法宣告破产或者由接管人接管其资产时，及时报告中国证监会并通知基金托管人；</w:t>
      </w:r>
    </w:p>
    <w:p w14:paraId="77BE69CE"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（21）因违反基金合同导致基金财产的损失或损害基金份额持有人的合法权益，应承担赔偿责任，其赔偿责任不因其退任而免除；</w:t>
      </w:r>
    </w:p>
    <w:p w14:paraId="5EEDECF5"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（22）基金托管人违反基金合同造成基金财产损失时，应为基金份额持有人利益向基金托管人追偿；</w:t>
      </w:r>
    </w:p>
    <w:p w14:paraId="68A86D36"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（23）不从事任何有损基金财产及本基金其他当事人利益的活动；</w:t>
      </w:r>
    </w:p>
    <w:p w14:paraId="20729446"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（24）公平对待所管理的不同基金和受托资产，防止在不同基金和受托资产间进行有损本基金基金份额持有人的利益的资源分配；</w:t>
      </w:r>
    </w:p>
    <w:p w14:paraId="66AF0B3B"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（25）以基金管理人的名义，代表基金份额持有人利益行使诉讼权利或实施其他法律行为；</w:t>
      </w:r>
    </w:p>
    <w:p w14:paraId="644ED369" w14:textId="641B12C6"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（26）基金管理人在募集期间未能达到基金的备案条件，《基金合同》不能生效，基金管理人承担全部募集费用，将已募集资金并加计银行同期存款利息在基金募集期结束后30日内退还基金认购人；</w:t>
      </w:r>
    </w:p>
    <w:p w14:paraId="3F116273" w14:textId="77777777" w:rsidR="00106F35"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（27）执行生效的基金份额持有人大会的决定；</w:t>
      </w:r>
    </w:p>
    <w:p w14:paraId="18FAA08F" w14:textId="77777777" w:rsidR="002E4CA6" w:rsidRPr="00487553" w:rsidRDefault="00106F35"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（28）基金合同规定的其他义务。</w:t>
      </w:r>
    </w:p>
    <w:p w14:paraId="61EE4C10" w14:textId="77777777" w:rsidR="002E4CA6" w:rsidRPr="00487553" w:rsidRDefault="002E4CA6" w:rsidP="00D94E68">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（三）基金托管人的权利与义务</w:t>
      </w:r>
    </w:p>
    <w:p w14:paraId="0DE8F1E9"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1、基金托管人的权利</w:t>
      </w:r>
    </w:p>
    <w:p w14:paraId="3C9520EE"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（1）自基金合同生效日起，依据法律法规和基金合同的规定保管基金财产；</w:t>
      </w:r>
    </w:p>
    <w:p w14:paraId="401D2786"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（2）依照基金合同的约定获得基金托管费以及法律法规规定或监管部门批准的其他收入；</w:t>
      </w:r>
    </w:p>
    <w:p w14:paraId="39820A16"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（3）监督基金管理人对本基金的投资运作，如托管人发现基金管理人的投资指令违反基金合同或有关法律法规的规定的，不予执行并向中国证监会报告；</w:t>
      </w:r>
    </w:p>
    <w:p w14:paraId="4CC9AFA1" w14:textId="7DAC3215"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（4）在基金管理人职责终止时，提名新的基金管理人；</w:t>
      </w:r>
    </w:p>
    <w:p w14:paraId="706391D2"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（5）依据法律法规和基金合同的规定召集基金份额持有人大会；</w:t>
      </w:r>
    </w:p>
    <w:p w14:paraId="36DE196E"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（6）选择、更换境外托管人并与之签署有关协议；</w:t>
      </w:r>
    </w:p>
    <w:p w14:paraId="0182596C" w14:textId="77777777" w:rsidR="002E4CA6"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（7）法律法规、基金合同规定的其它权利。</w:t>
      </w:r>
    </w:p>
    <w:p w14:paraId="00AD2A27" w14:textId="77777777" w:rsidR="002E4CA6" w:rsidRPr="00487553" w:rsidRDefault="002E4CA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2、基金托管人的义务</w:t>
      </w:r>
    </w:p>
    <w:p w14:paraId="0E36CA34"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（1）以诚实信用、勤勉尽责的原则安全保管基金财产；</w:t>
      </w:r>
    </w:p>
    <w:p w14:paraId="66F7D60F"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（2）设立专门的基金托管部门，具有符合要求的营业场所，配备足够的、合格的熟悉基金托管业务的专职人员，负责基金财产托管事宜；</w:t>
      </w:r>
    </w:p>
    <w:p w14:paraId="4CDBF299"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建立健全内部控制、监察与稽核、财务管理及人事管理等制度，保证其托管的基金财产与基金托管人自有资产以及不同的基金财产相互独立；对所托管的不同的基金和受托资产分别设置账户，独立核算，分账管理，保证不同基金、受托资产之间在名册登记、账户设置、资金划拨、账册记录等方面相互独立；</w:t>
      </w:r>
    </w:p>
    <w:p w14:paraId="2CF6C461"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（4）除依据《基金法》、本基金合同及其他有关规定外，不以基金财产为自己及任何第三人谋取利益，不得委托第三人托管基金财产；</w:t>
      </w:r>
    </w:p>
    <w:p w14:paraId="11D88D31"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（5）按规定保管（或委托境外托管人保管）由基金管理人代表基金签订的与基金有关的重大合同及有关凭证；</w:t>
      </w:r>
    </w:p>
    <w:p w14:paraId="3BAD3D02"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（6）按规定开设基金财产的资金账户和证券账户；</w:t>
      </w:r>
    </w:p>
    <w:p w14:paraId="000A5603"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（7）按照基金合同的约定，根据基金管理人的投资指令，及时办理清算、交割事宜；</w:t>
      </w:r>
    </w:p>
    <w:p w14:paraId="2792743A"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（8）对基金的境外财产，基金托管人可授权境外托管人代为履行其承担的职责，境外托管人在履行职责过程中，因本身过错、疏忽等原因而导致基金财产受损的，基金托管人承担相应责任；</w:t>
      </w:r>
    </w:p>
    <w:p w14:paraId="3881A552" w14:textId="520A4F02"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（9）保守基金商业秘密。除《基金法》、基金合同及其他有关规定另有规定外，在基金信息公开披露前应予以保密，不得向他人泄露；</w:t>
      </w:r>
    </w:p>
    <w:p w14:paraId="60B01081"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（10）复核、审查基金管理人计算的基金资产净值、</w:t>
      </w:r>
      <w:r w:rsidR="00C75CF7" w:rsidRPr="00487553">
        <w:rPr>
          <w:rFonts w:asciiTheme="minorEastAsia" w:eastAsiaTheme="minorEastAsia" w:hAnsiTheme="minorEastAsia" w:hint="eastAsia"/>
        </w:rPr>
        <w:t>不同币种份额的</w:t>
      </w:r>
      <w:r w:rsidRPr="00487553">
        <w:rPr>
          <w:rFonts w:asciiTheme="minorEastAsia" w:eastAsiaTheme="minorEastAsia" w:hAnsiTheme="minorEastAsia" w:hint="eastAsia"/>
        </w:rPr>
        <w:t>基金份额净值及基金份额申购、赎回价格；</w:t>
      </w:r>
    </w:p>
    <w:p w14:paraId="5D761D46"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（11）办理与基金托管业务活动有关的信息披露事项；</w:t>
      </w:r>
    </w:p>
    <w:p w14:paraId="174DDC4D"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12）对基金财务会计报告、季度、半年度和年度基金报告出具意见，说明基金管理人在各重要方面的运作是否严格按照基金合同的规定进行；如果基金管理人有未执行基金合同规定的行为，还应说明基金托管人是否采取了适当的措施；</w:t>
      </w:r>
    </w:p>
    <w:p w14:paraId="21092F98"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（13）按规定保存有关基金托管业务活动的记录、账册、报表和其他相关资料，保存基金的会计账册、报表和记录等不少于15年；</w:t>
      </w:r>
    </w:p>
    <w:p w14:paraId="7873A7D7"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（14）根据有关法律法规，从基金管理人处接收并保存基金份额持有人名册；</w:t>
      </w:r>
    </w:p>
    <w:p w14:paraId="07FAEA34"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（15）按规定制作相关账册并与基金管理人核对；</w:t>
      </w:r>
    </w:p>
    <w:p w14:paraId="3FF7938C"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（16）依据基金管理人的指令或有关规定向基金份额持有人支付基金收益和赎回款项；</w:t>
      </w:r>
    </w:p>
    <w:p w14:paraId="17E446B7"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（17）按照规定召集基金份额持有人大会或配合基金份额持有人依法自行召集基金份额持有人大会；</w:t>
      </w:r>
    </w:p>
    <w:p w14:paraId="2B79A0B1"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（18）按照规定监督基金管理人的投资运作；</w:t>
      </w:r>
    </w:p>
    <w:p w14:paraId="74166157"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（19）参加基金财产清算组，参与基金财产的保管、清理、估价、变现和分配；</w:t>
      </w:r>
    </w:p>
    <w:p w14:paraId="19A14BE8"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（20）面临解散、依法被撤销、破产或者由接管人接管其资产时，及时报告中国证监会和中国银监会，并通知基金管理人；</w:t>
      </w:r>
    </w:p>
    <w:p w14:paraId="5BE9BC27"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（21）基金管理人因违反基金合同造成基金财产损失时，基金托管人应为基金向基金管理人追偿；</w:t>
      </w:r>
    </w:p>
    <w:p w14:paraId="30E3F8D7"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（22）因违反基金合同导致基金财产的损失，应承担赔偿责任，其责任不因其退任而免除；</w:t>
      </w:r>
    </w:p>
    <w:p w14:paraId="34CE0D53"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（23）不从事任何有损基金及基金合同其他当事人利益的活动；</w:t>
      </w:r>
    </w:p>
    <w:p w14:paraId="5FE1EBFD"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（24）安全保护基金财产，准时将公司行为信息通知基金管理人，确保基金及时收取所有应得收入；</w:t>
      </w:r>
    </w:p>
    <w:p w14:paraId="792723A5"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（25）每月结束后7个工作日内，向中国证监会和国家外汇局报告基金境外投资情况，并按相关规定进行国际收支申报；</w:t>
      </w:r>
    </w:p>
    <w:p w14:paraId="6D8F6FDE"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（26）办理基金管理人就管理本基金的有关结汇、售汇、收汇、付汇和人民币资金结算业务；</w:t>
      </w:r>
    </w:p>
    <w:p w14:paraId="32C38C76" w14:textId="77777777" w:rsidR="00C56083"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（27）保存基金管理人就管理本基金的资金汇出、汇入、兑换、收汇、付汇、资金往来、委托及成交记录等相关资料，其保存的时间应当不少于20年；</w:t>
      </w:r>
    </w:p>
    <w:p w14:paraId="12F06B9A" w14:textId="77777777" w:rsidR="002E4CA6" w:rsidRPr="00487553" w:rsidRDefault="00C56083"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（28）本基金合同所规定的其他义务。</w:t>
      </w:r>
    </w:p>
    <w:p w14:paraId="2C5CB987" w14:textId="77777777" w:rsidR="002E4CA6" w:rsidRPr="00487553" w:rsidRDefault="002E4CA6" w:rsidP="00E40AAB">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二、</w:t>
      </w:r>
      <w:r w:rsidRPr="00487553">
        <w:rPr>
          <w:rFonts w:asciiTheme="minorEastAsia" w:eastAsiaTheme="minorEastAsia" w:hAnsiTheme="minorEastAsia"/>
        </w:rPr>
        <w:t>基金份额持有人大会召集</w:t>
      </w:r>
      <w:r w:rsidRPr="00487553">
        <w:rPr>
          <w:rFonts w:asciiTheme="minorEastAsia" w:eastAsiaTheme="minorEastAsia" w:hAnsiTheme="minorEastAsia"/>
          <w:bCs/>
          <w:kern w:val="0"/>
          <w:szCs w:val="20"/>
        </w:rPr>
        <w:t>、议事及表决的程序和规则</w:t>
      </w:r>
    </w:p>
    <w:p w14:paraId="7C464DE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（一）基金份额持有人大会的组成</w:t>
      </w:r>
    </w:p>
    <w:p w14:paraId="30286DC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本基金的基金份额持有人大会，由本基金的基金份额持有人共同组成，基金份额持有人可委托代理人在授权范围内代表基金份额持有人行使权利。本基金的基金份额持有人享有平等的表决权，每一基金份额具有一票表决权。</w:t>
      </w:r>
    </w:p>
    <w:p w14:paraId="1A08BF6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（二）有以下事由情形之一时，应召开基金份额持有人大会：</w:t>
      </w:r>
    </w:p>
    <w:p w14:paraId="5CA427F6"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（1）终止基金合同；</w:t>
      </w:r>
    </w:p>
    <w:p w14:paraId="209DFC2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（2）转换基金运作方式；</w:t>
      </w:r>
    </w:p>
    <w:p w14:paraId="67DE702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（3）更换基金托管人；</w:t>
      </w:r>
    </w:p>
    <w:p w14:paraId="5B8267A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（4）更换基金管理人；</w:t>
      </w:r>
    </w:p>
    <w:p w14:paraId="34CF74C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（5）提高基金管理人、基金托管人的报酬标准，但根据法律法规的要求提高该等报酬标准的除外；</w:t>
      </w:r>
    </w:p>
    <w:p w14:paraId="15C064A5"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（6）本基金与其它基金的合并；</w:t>
      </w:r>
    </w:p>
    <w:p w14:paraId="10E1B9B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（7）变更基金类别；</w:t>
      </w:r>
    </w:p>
    <w:p w14:paraId="3E9DE4D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（8）变更基金投资目标、范围或策略（法律法规和中国证监会另有规定的除外），但由于目标ETF基金交易方式变更、终止上市或基金合同终止而变更基金投资目标、范围或策略的情况除外；</w:t>
      </w:r>
    </w:p>
    <w:p w14:paraId="4A61CE26"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（9）变更基金份额持有人大会程序；</w:t>
      </w:r>
    </w:p>
    <w:p w14:paraId="252E55C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（10）基金管理人或基金托管人要求召开基金份额持有人大会；</w:t>
      </w:r>
    </w:p>
    <w:p w14:paraId="7D9E9D0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（11）基金管理人代表本基金的基金份额持有人提议召开或召集目标ETF基金份额持有人大会；</w:t>
      </w:r>
    </w:p>
    <w:p w14:paraId="48FBADB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（12）单独或合计持有本基金总份额10％以上（含10％）基金份额的基金份额持有人（以基金管理人收到提议当日的基金份额计算，下同）就同一事项书面要求召开基金份额持有人大会；</w:t>
      </w:r>
    </w:p>
    <w:p w14:paraId="7A438BD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（13）对基金当事人权利和义务产生重大影响的其他事项；</w:t>
      </w:r>
    </w:p>
    <w:p w14:paraId="0C595CFA"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（14）法律法规、基金合同或中国证监会规定的其它应当召开基金份额持有人大会的事项。</w:t>
      </w:r>
    </w:p>
    <w:p w14:paraId="5B50A595"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（三）以下情况不需召开基金份额持有人大会：</w:t>
      </w:r>
    </w:p>
    <w:p w14:paraId="3FED18E6"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（1）调低基金管理费、基金托管费</w:t>
      </w:r>
      <w:r w:rsidR="00823FD2" w:rsidRPr="00487553">
        <w:rPr>
          <w:rFonts w:asciiTheme="minorEastAsia" w:eastAsiaTheme="minorEastAsia" w:hAnsiTheme="minorEastAsia" w:hint="eastAsia"/>
        </w:rPr>
        <w:t>或销售服务费</w:t>
      </w:r>
      <w:r w:rsidRPr="00487553">
        <w:rPr>
          <w:rFonts w:asciiTheme="minorEastAsia" w:eastAsiaTheme="minorEastAsia" w:hAnsiTheme="minorEastAsia" w:hint="eastAsia"/>
        </w:rPr>
        <w:t>；</w:t>
      </w:r>
    </w:p>
    <w:p w14:paraId="05E10C3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（2）法律法规要求增加的基金费用的收取；</w:t>
      </w:r>
    </w:p>
    <w:p w14:paraId="259F7473" w14:textId="7085D178"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在法律法规和基金合同规定的范围内变更本基金的申购费率、调低赎回费率</w:t>
      </w:r>
      <w:r w:rsidR="00823FD2" w:rsidRPr="00487553">
        <w:rPr>
          <w:rFonts w:asciiTheme="minorEastAsia" w:eastAsiaTheme="minorEastAsia" w:hAnsiTheme="minorEastAsia" w:hint="eastAsia"/>
        </w:rPr>
        <w:t>、调</w:t>
      </w:r>
      <w:r w:rsidR="00823FD2" w:rsidRPr="00487553">
        <w:rPr>
          <w:rFonts w:asciiTheme="minorEastAsia" w:eastAsiaTheme="minorEastAsia" w:hAnsiTheme="minorEastAsia" w:hint="eastAsia"/>
        </w:rPr>
        <w:lastRenderedPageBreak/>
        <w:t>整基金份额类别</w:t>
      </w:r>
      <w:r w:rsidRPr="00487553">
        <w:rPr>
          <w:rFonts w:asciiTheme="minorEastAsia" w:eastAsiaTheme="minorEastAsia" w:hAnsiTheme="minorEastAsia" w:hint="eastAsia"/>
        </w:rPr>
        <w:t>；</w:t>
      </w:r>
    </w:p>
    <w:p w14:paraId="7143360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（4）因相应的法律法规发生变动而应当对基金合同进行修改；</w:t>
      </w:r>
    </w:p>
    <w:p w14:paraId="3A7C3A4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（5）对基金合同的修改不涉及基金合同当事人权利义务关系发生重大变化；</w:t>
      </w:r>
    </w:p>
    <w:p w14:paraId="4AD4955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（6）对基金合同的修改对基金份额持有人利益无实质性不利影响；</w:t>
      </w:r>
    </w:p>
    <w:p w14:paraId="587181B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（7）经中国证监会允许，基金推出新业务或服务；</w:t>
      </w:r>
    </w:p>
    <w:p w14:paraId="15895CC3" w14:textId="77777777" w:rsidR="004572B7"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（8）基金管理人、基金注册登记机构、基金代销机构在法律法规规定的范围内调整有关基金申购、赎回、转换、非交易过户、转托管等业务规则</w:t>
      </w:r>
      <w:r w:rsidR="004572B7" w:rsidRPr="00487553">
        <w:rPr>
          <w:rFonts w:asciiTheme="minorEastAsia" w:eastAsiaTheme="minorEastAsia" w:hAnsiTheme="minorEastAsia" w:hint="eastAsia"/>
        </w:rPr>
        <w:t>，开通人民币、美元之外的其他币种的申购、赎回，或终止人民币之外的其他币种的申购、赎回；</w:t>
      </w:r>
    </w:p>
    <w:p w14:paraId="51B8692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（9）除法律法规或基金合同规定应当召开基金份额持有人大会以外的其它情形。</w:t>
      </w:r>
    </w:p>
    <w:p w14:paraId="2AA7B00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（四）召集人和召集方式</w:t>
      </w:r>
    </w:p>
    <w:p w14:paraId="7E17C2DE"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（1）除法律法规或本基金合同另有约定外，基金份额持有人大会由基金管理人召集。基金管理人未按规定召集或者不能召集时，由基金托管人召集。</w:t>
      </w:r>
    </w:p>
    <w:p w14:paraId="709BBAC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14:paraId="215A49EE"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代表基金份额10%以上（含10%，以基金管理人收到提议当日的基金份额计算，下同）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1FD2E1E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代表基金份额10%以上（含10%）的基金份额持有人就同一事项要求召开基金份额持有人大会，而基金管理人、基金托管人都不召集的，代表基金份额10%以上（含10%）的基金份额持有人有权自行召集基金份额持有人大会，但应当至少提前30日向中国证监会备案。</w:t>
      </w:r>
    </w:p>
    <w:p w14:paraId="7830A4A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（5）基金份额持有人依法自行召集基金份额持有人大会的，基金管理人、基金托管人应当配合，不得阻碍、干扰。</w:t>
      </w:r>
    </w:p>
    <w:p w14:paraId="7D2A20D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（6）基金份额持有人会议的召集人负责选择确定开会时间、地点、方式和权益登记日。</w:t>
      </w:r>
    </w:p>
    <w:p w14:paraId="543AC786" w14:textId="58C1EF50" w:rsidR="00154AC6" w:rsidRPr="00487553" w:rsidRDefault="00AC785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五</w:t>
      </w: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召开基金份额持有人大会的通知时间、通知内容、通知方式</w:t>
      </w:r>
    </w:p>
    <w:p w14:paraId="6E053D6A"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（1）召开基金份额持有人大会，召集人必须于会议召开日前30天在指定媒体上公告。基金份额持有人大会通知须至少载明以下内容：</w:t>
      </w:r>
    </w:p>
    <w:p w14:paraId="5A11EE4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1）会议召开的时间、地点和方式；</w:t>
      </w:r>
    </w:p>
    <w:p w14:paraId="7CEE69C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2）会议拟审议的主要事项；</w:t>
      </w:r>
    </w:p>
    <w:p w14:paraId="615C4D7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3）会议形式；</w:t>
      </w:r>
    </w:p>
    <w:p w14:paraId="2D155A66"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4）议事程序；</w:t>
      </w:r>
    </w:p>
    <w:p w14:paraId="2739D86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5）有权出席基金份额持有人大会的权益登记日；</w:t>
      </w:r>
    </w:p>
    <w:p w14:paraId="713040C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6）授权委托书的内容要求</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包括但不限于代理人身份、代理权限和代理有效期限等</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、送达时间和地点；</w:t>
      </w:r>
    </w:p>
    <w:p w14:paraId="63323689"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7）表决方式；</w:t>
      </w:r>
    </w:p>
    <w:p w14:paraId="1863059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8）会务常设联系人姓名、电话；</w:t>
      </w:r>
    </w:p>
    <w:p w14:paraId="29DACB0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9）出席会议者必须准备的文件和必须履行的手续；</w:t>
      </w:r>
    </w:p>
    <w:p w14:paraId="49AA819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10）召集人需要通知的其他事项。</w:t>
      </w:r>
    </w:p>
    <w:p w14:paraId="2D3B29D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采用通讯方式开会并进行表决的情况下，由召集人决定通讯方式和书面表决方式，并在会议通知中说明本次基金份额持有人大会所采取的具体通讯方式、委托的公证机关及其联系方式和联系人、书面表决意见的寄交和收取方式及截止时间。</w:t>
      </w:r>
    </w:p>
    <w:p w14:paraId="51C20E9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表决意见的计票结果。</w:t>
      </w:r>
    </w:p>
    <w:p w14:paraId="1CB610F2" w14:textId="2306C0AF" w:rsidR="00154AC6" w:rsidRPr="00487553" w:rsidRDefault="00AC785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六</w:t>
      </w: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基金份额持有人出席会议的方式</w:t>
      </w:r>
    </w:p>
    <w:p w14:paraId="0FB4CAD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（1）会议方式</w:t>
      </w:r>
    </w:p>
    <w:p w14:paraId="25D6530E"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份额持有人大会的召开方式包括现场开会和通讯方式开会。在法律法规或监管机构允许的情况下，在符合会议通知载明形式的前提下，基金份额持有人可以采用网络、电话或其他方式出席会议并表决，或者授权他人出席会议并表决。</w:t>
      </w:r>
    </w:p>
    <w:p w14:paraId="2A3CF55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现场开会由基金份额持有人本人出席或通过授权委托书委派其代理人出席，现场开会时基金管理人和基金托管人的授权代表应当出席。</w:t>
      </w:r>
    </w:p>
    <w:p w14:paraId="7F9DA9E1"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通讯方式开会指按照本基金合同的相关规定以通讯的书面方式进行表决。</w:t>
      </w:r>
    </w:p>
    <w:p w14:paraId="5E8B065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会议的召开方式由召集人确定，但决定更换基金管理人、更换基金托管人必须以现场开会方式召开基金份额持有人大会。</w:t>
      </w:r>
    </w:p>
    <w:p w14:paraId="167E025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（2）召开基金份额持有人大会的条件</w:t>
      </w:r>
    </w:p>
    <w:p w14:paraId="7B2D27F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1）现场开会方式</w:t>
      </w:r>
    </w:p>
    <w:p w14:paraId="0E63E0F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在同时符合以下条件时，现场会议方可举行：</w:t>
      </w:r>
    </w:p>
    <w:p w14:paraId="28BA254B" w14:textId="551AAD46"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①对到会者在权益登记日持有基金份额的统计显示，有效的基金份额应占权益登记日基金总份额的50%以上（含50%）；</w:t>
      </w:r>
    </w:p>
    <w:p w14:paraId="0835859E" w14:textId="7B763D01"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14:paraId="0853A9E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未能满足上述条件的情况下，则召集人可另行确定并公告重新开会的时间和地点，但确定有权出席会议的基金份额持有人资格的权益登记日不变。</w:t>
      </w:r>
    </w:p>
    <w:p w14:paraId="0CAAFDC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2）通讯开会方式</w:t>
      </w:r>
    </w:p>
    <w:p w14:paraId="16D5BD5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在同时符合以下条件时，通讯会议方可举行：</w:t>
      </w:r>
    </w:p>
    <w:p w14:paraId="20CD7F7C" w14:textId="020F42C2"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①召集人按本基金合同规定公布会议通知后，在2个工作日内连续公布相关提示性公告；</w:t>
      </w:r>
    </w:p>
    <w:p w14:paraId="06A07977" w14:textId="1E80B5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②召集人在基金托管人（如果基金托管人为召集人，则为基金管理人）和公证机关的监督下按照会议通知规定的方式收取和统计基金份额持有人的书面表决意见；基金托管人或基金管理人经通知不参加收取书面表决意见的，不影响表决效力；</w:t>
      </w:r>
    </w:p>
    <w:p w14:paraId="55606D4C" w14:textId="4ABE576C"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③本人直接出具书面意见或授权他人代表出具书面意见的基金份额持有人所代表的基金份额应占权益登记日基金总份额的50%以上（含50%）；</w:t>
      </w:r>
    </w:p>
    <w:p w14:paraId="6F4DD6BF" w14:textId="032C95C4"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④直接出具书面意见的基金份额持有人或受托代表他人出具书面意见的其他代表，同时提交的持有基金份额的凭证符合法律法规、基金合同和会议通知的规定，并与登记注册机构记录相符。</w:t>
      </w:r>
    </w:p>
    <w:p w14:paraId="18344AE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如果开会条件达不到上述条件，则召集人可另行确定并公告重新表决的时间，但确定有权出席会议的基金份额持有人资格的权益登记日不变。</w:t>
      </w:r>
    </w:p>
    <w:p w14:paraId="292B7BE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043C4467"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（七）议事内容与程序</w:t>
      </w:r>
    </w:p>
    <w:p w14:paraId="1718D8D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（1）议事内容及提案权</w:t>
      </w:r>
    </w:p>
    <w:p w14:paraId="2F439D81"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1）议事内容为本基金合同规定的召开基金份额持有人大会事由所涉及的内容。</w:t>
      </w:r>
    </w:p>
    <w:p w14:paraId="4FFE18D5"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管理人、基金托管人、单独或合并持有权益登记日本基金总份额10%以上（含10%）的基金份额持有人可以在大会召集人发出会议通知前就召开事由向大会召集人提交需由基金份额持有人大会审议表决的提案；也可以在会议通知发出后向大会召集人提交临时提案。临时提案应当在大会召开日前35天提交召集人。召集人对于临时提案应当在大会召开日前30天公布。</w:t>
      </w:r>
    </w:p>
    <w:p w14:paraId="620B7B5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3）对于基金份额持有人提交的提案</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包括临时提案</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，大会召集人应当按照以下原则对提案进行审核：</w:t>
      </w:r>
    </w:p>
    <w:p w14:paraId="6D87C23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①关联性。大会召集人对于基金份额持有人提案涉及事项与基金有直接关系，并且不</w:t>
      </w:r>
      <w:r w:rsidRPr="00487553">
        <w:rPr>
          <w:rFonts w:asciiTheme="minorEastAsia" w:eastAsiaTheme="minorEastAsia" w:hAnsiTheme="minorEastAsia" w:hint="eastAsia"/>
        </w:rPr>
        <w:lastRenderedPageBreak/>
        <w:t>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0C33DE9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②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3CEE98A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单独或合并持有权利登记日基金总份额10%以上（含10％）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除外。</w:t>
      </w:r>
    </w:p>
    <w:p w14:paraId="2862093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基金份额持有人大会的召集人发出召开会议的通知后，如果需要对原有提案进行修改或增加新的提案，应当最迟在基金份额持有人大会召开日前30日公告。否则，会议的召开日期应当顺延并保证至少与公告日期有30日的间隔期。</w:t>
      </w:r>
    </w:p>
    <w:p w14:paraId="5407793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（2）议事程序</w:t>
      </w:r>
    </w:p>
    <w:p w14:paraId="3DC0FEDA"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1）现场开会</w:t>
      </w:r>
    </w:p>
    <w:p w14:paraId="2FFDD7E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在现场开会的方式下，首先由大会主持人按照规定程序宣布会议议事程序及注意事项，确定和公布监票人，然后由大会主持人宣读提案，经讨论后在公证机关监督下进行表决，经合法执业的律师见证后形成大会决议。</w:t>
      </w:r>
    </w:p>
    <w:p w14:paraId="385153B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基金管理人和基金托管人不出席或主持基金份额持有人大会，不影响基金份额持有人大会做出的决议的效力。</w:t>
      </w:r>
    </w:p>
    <w:p w14:paraId="2304C12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召集人应当制作出席会议人员的签名册。签名册载明参加会议人员姓名</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或单位名称</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、身份证号码、住所地址、持有或代表有表决权的基金份额、委托人姓名</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或单位名称</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等事项。</w:t>
      </w:r>
    </w:p>
    <w:p w14:paraId="08721DA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2）通讯方式开会</w:t>
      </w:r>
    </w:p>
    <w:p w14:paraId="1CE8638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在通讯表决开会的方式下，首先由召集人至少提前30天公布提案，在所通知的表决截止日期第2天在公证机构监督下由召集人统计全部有效表决并形成决议。</w:t>
      </w:r>
    </w:p>
    <w:p w14:paraId="1A3E7C3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（3）基金份额持有人大会不得对未事先公告的议事内容进行表决。</w:t>
      </w:r>
    </w:p>
    <w:p w14:paraId="6A3146B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（八）决议形成的条件、表决方式、程序</w:t>
      </w:r>
    </w:p>
    <w:p w14:paraId="7F71CAEA"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（1）基金份额持有人所持每一基金份额享有平等的表决权。</w:t>
      </w:r>
    </w:p>
    <w:p w14:paraId="4B82725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（2）基金份额持有人大会决议分为特别决议和一般决议：</w:t>
      </w:r>
    </w:p>
    <w:p w14:paraId="666831EA"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1）特别决议</w:t>
      </w:r>
    </w:p>
    <w:p w14:paraId="464FC97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特别决议须经出席会议的基金份额持有人及其代理人所持表决权的三分之二以上通过方为有效；更换基金管理人、更换基金托管人、转换基金运作方式、终止基金合同的重大事项必须以特别决议方式通过；</w:t>
      </w:r>
    </w:p>
    <w:p w14:paraId="7DF0531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2）一般决议</w:t>
      </w:r>
    </w:p>
    <w:p w14:paraId="07B14F90"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一般决议须经出席会议的基金份额持有人及其代理人所持表决权的50%以上（含50%）通过方为有效，除须以特别决议通过事项以外的其他事项均以一般决议的方式通过。</w:t>
      </w:r>
    </w:p>
    <w:p w14:paraId="3845FA7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（3）基金份额持有人大会决定的事项，应当依法报中国证监会核准，或者备案，并予以公告。</w:t>
      </w:r>
    </w:p>
    <w:p w14:paraId="6FA7699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（4）基金份额持有人大会采取记名方式进行投票表决。</w:t>
      </w:r>
    </w:p>
    <w:p w14:paraId="0489EFEB"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（5）基金份额持有人大会的各项提案或同一项提案内并列的各项议题应当分开审议、逐项表决。</w:t>
      </w:r>
    </w:p>
    <w:p w14:paraId="3AC5B0CF"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（6）基金份额持有人大会决议对全体基金份额持有人、基金管理人和基金托管人均有约束力。</w:t>
      </w:r>
    </w:p>
    <w:p w14:paraId="4D1CD602"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（九）计票</w:t>
      </w:r>
    </w:p>
    <w:p w14:paraId="664AD846"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（1）现场开会</w:t>
      </w:r>
    </w:p>
    <w:p w14:paraId="6057F58E"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3名基金份额持有人担任监票人。</w:t>
      </w:r>
    </w:p>
    <w:p w14:paraId="297439A8"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2）监票人应当在基金份额持有人表决后立即进行清点，由大会主持人当场公布计票结果。</w:t>
      </w:r>
    </w:p>
    <w:p w14:paraId="6AD4992D"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7905478F" w14:textId="607A3746"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4）计票过程应由公证机关予以公证，基金管理人或基金托管人拒不参加基金份额持有人大会或拒不配合计票的，不影响计票的效力。</w:t>
      </w:r>
    </w:p>
    <w:p w14:paraId="5A972EA9"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（2）通讯方式开会</w:t>
      </w:r>
    </w:p>
    <w:p w14:paraId="74E5F10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在通讯方式开会的情况下，计票方式为：由大会召集人授权的两名监督员在基金托管人授权代表</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如果基金托管人为召集人，则为基金管理人授权代表</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的监督下进行计票，由公证机关对其计票过程予以公证。基金管理人或基金托管人拒派代表对书面表决意见的计票进行监督的，不影响计票和表决结果。</w:t>
      </w:r>
    </w:p>
    <w:p w14:paraId="345C2EA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（十）基金份额持有人大会决议的生效与公告</w:t>
      </w:r>
    </w:p>
    <w:p w14:paraId="4F775F04"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（1）基金份额持有人大会通过的一般决议和特别决议，召集人应当自通过之日起5日内报中国证监会核准或者备案。基金份额持有人大会决定的事项自中国证监会依法核准或者出具无异议意见之日起生效。</w:t>
      </w:r>
    </w:p>
    <w:p w14:paraId="3184F0D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（2）生效的基金份额持有人大会决议对全体基金份额持有人、基金管理人、基金托管人均有约束力。基金管理人、基金托管人和基金份额持有人应当执行生效的基金份额持有人大会的决定。</w:t>
      </w:r>
    </w:p>
    <w:p w14:paraId="5417965C"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（3）基金份额持有人大会决议应自生效之日起2日内由相关信息披露义务人在至少一种指定媒体公告。</w:t>
      </w:r>
    </w:p>
    <w:p w14:paraId="27F01ABE" w14:textId="4BA765AD" w:rsidR="00154AC6" w:rsidRPr="00487553" w:rsidRDefault="00AC785D"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十一</w:t>
      </w:r>
      <w:r w:rsidRPr="00487553">
        <w:rPr>
          <w:rFonts w:asciiTheme="minorEastAsia" w:eastAsiaTheme="minorEastAsia" w:hAnsiTheme="minorEastAsia" w:hint="eastAsia"/>
        </w:rPr>
        <w:t>）</w:t>
      </w:r>
      <w:r w:rsidR="00154AC6" w:rsidRPr="00487553">
        <w:rPr>
          <w:rFonts w:asciiTheme="minorEastAsia" w:eastAsiaTheme="minorEastAsia" w:hAnsiTheme="minorEastAsia" w:hint="eastAsia"/>
        </w:rPr>
        <w:t>鉴于本基金是目标ETF的联接基金，本基金的基金份额持有人</w:t>
      </w:r>
      <w:r w:rsidR="003F1B59" w:rsidRPr="00487553">
        <w:rPr>
          <w:rFonts w:asciiTheme="minorEastAsia" w:eastAsiaTheme="minorEastAsia" w:hAnsiTheme="minorEastAsia" w:hint="eastAsia"/>
        </w:rPr>
        <w:t>（无论份额的币种类别）</w:t>
      </w:r>
      <w:r w:rsidR="00154AC6" w:rsidRPr="00487553">
        <w:rPr>
          <w:rFonts w:asciiTheme="minorEastAsia" w:eastAsiaTheme="minorEastAsia" w:hAnsiTheme="minorEastAsia" w:hint="eastAsia"/>
        </w:rPr>
        <w:t>可以凭所持有的本基金份额出席或者委派代表出席目标ETF的份额持有人大会并参与表决，其持有的享有表决权的基金份额数和表决票数为，在目标ETF基金份额持有人大会的权益登记日，本基金持有目标ETF份额的总数乘以该持有人所持有的本基金份额占本基金总份额的比例，计算结果按照四舍五入的方法，保留到整数位。</w:t>
      </w:r>
    </w:p>
    <w:p w14:paraId="413EC443"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1FFC24FE"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本基金的基金管理人代表本基金的基金份额持有人提议召开或召集目标ETF份额持有人大会的，须先遵照本基金基金合同的约定召开本基金的基金份额持有人大会，本基金的基金份额持有人大会决定提议召开或召集目标ETF份额持有人大会的，由本基金基金管理人代表本基金的基金份额持有人提议召开或召集目标ETF份额持有人大会。</w:t>
      </w:r>
    </w:p>
    <w:p w14:paraId="2723F845" w14:textId="77777777" w:rsidR="00154AC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（十二）其他</w:t>
      </w:r>
    </w:p>
    <w:p w14:paraId="29F83A4C" w14:textId="77777777" w:rsidR="002E4CA6"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法律法规或监管部门对基金份额持有人大会另有规定的，从其规定。</w:t>
      </w:r>
    </w:p>
    <w:p w14:paraId="32E1372C" w14:textId="77777777" w:rsidR="002E4CA6" w:rsidRPr="00487553" w:rsidRDefault="002E4CA6" w:rsidP="00E40AAB">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三、</w:t>
      </w:r>
      <w:r w:rsidRPr="00487553">
        <w:rPr>
          <w:rFonts w:asciiTheme="minorEastAsia" w:eastAsiaTheme="minorEastAsia" w:hAnsiTheme="minorEastAsia"/>
        </w:rPr>
        <w:t>基金合同解除和终止的事由</w:t>
      </w:r>
      <w:r w:rsidRPr="00487553">
        <w:rPr>
          <w:rFonts w:asciiTheme="minorEastAsia" w:eastAsiaTheme="minorEastAsia" w:hAnsiTheme="minorEastAsia"/>
          <w:bCs/>
          <w:kern w:val="0"/>
          <w:szCs w:val="20"/>
        </w:rPr>
        <w:t>、程序</w:t>
      </w:r>
    </w:p>
    <w:p w14:paraId="050E6A5B"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（一）基金合同的终止</w:t>
      </w:r>
    </w:p>
    <w:p w14:paraId="1512D098"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有下列情形之一的，本基金合同终止：</w:t>
      </w:r>
    </w:p>
    <w:p w14:paraId="0DD91F27"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（1）基金份额持有人大会决定终止；</w:t>
      </w:r>
    </w:p>
    <w:p w14:paraId="5D8CDD07"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（2）基金管理人职责终止，在六个月内没有新基金管理人承接的；</w:t>
      </w:r>
    </w:p>
    <w:p w14:paraId="000848C9"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（3）基金托管人职责终止，在六个月内没有新基金托管人承接的；</w:t>
      </w:r>
    </w:p>
    <w:p w14:paraId="58DD086E"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（4）法律法规和基金合同规定的其他情形。</w:t>
      </w:r>
    </w:p>
    <w:p w14:paraId="329953C2"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（二）基金财产的清算</w:t>
      </w:r>
    </w:p>
    <w:p w14:paraId="3F2EFAE4"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（1）基金合同终止，应当按法律法规和本基金合同的有关规定对基金财产进行清算。</w:t>
      </w:r>
    </w:p>
    <w:p w14:paraId="085BC643"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（2）基金财产清算组</w:t>
      </w:r>
    </w:p>
    <w:p w14:paraId="43D1AC1E"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1）自基金合同终止之日起30个工作日内由基金管理人组织成立基金财产清算组，在</w:t>
      </w:r>
      <w:r w:rsidRPr="00487553">
        <w:rPr>
          <w:rFonts w:asciiTheme="minorEastAsia" w:eastAsiaTheme="minorEastAsia" w:hAnsiTheme="minorEastAsia" w:hint="eastAsia"/>
          <w:bCs/>
        </w:rPr>
        <w:lastRenderedPageBreak/>
        <w:t>基金财产清算组接管基金财产之前，基金管理人和基金托管人应按照基金合同和托管协议的规定继续履行保护基金财产安全的职责。</w:t>
      </w:r>
    </w:p>
    <w:p w14:paraId="5DC4C214"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2）基金财产清算组成员由基金管理人、基金托管人、基金注册登记机构、具有从事证券相关业务资格的注册会计师、律师以及中国证监会指定的人员组成。基金财产清算组可以聘用必要的工作人员。</w:t>
      </w:r>
    </w:p>
    <w:p w14:paraId="60566888"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3）基金财产清算组负责基金财产的保管、清理、估价、变现和分配。基金财产清算组可以依法进行必要的民事活动。</w:t>
      </w:r>
    </w:p>
    <w:p w14:paraId="6DF51F7E"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（3）清算程序</w:t>
      </w:r>
    </w:p>
    <w:p w14:paraId="6FC608CD"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1）基金合同终止后，由基金财产清算组统一接管基金财产；</w:t>
      </w:r>
    </w:p>
    <w:p w14:paraId="1B4C8D32"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2）基金财产清算组根据基金财产的情况确定清算期限；</w:t>
      </w:r>
    </w:p>
    <w:p w14:paraId="62D18038"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3）基金财产清算组对基金财产进行清理和确认；</w:t>
      </w:r>
    </w:p>
    <w:p w14:paraId="1A30C202"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4）对基金财产进行评估和变现；</w:t>
      </w:r>
    </w:p>
    <w:p w14:paraId="5B8F7C26"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5）基金清算组做出清算报告；</w:t>
      </w:r>
    </w:p>
    <w:p w14:paraId="2A9AAB34"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6）会计师事务所对清算报告进行审计；</w:t>
      </w:r>
    </w:p>
    <w:p w14:paraId="0AA6A4DD"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7）律师事务所对清算报告出具法律意见书；</w:t>
      </w:r>
    </w:p>
    <w:p w14:paraId="360F63E3"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8）将基金清算结果报告中国证监会；</w:t>
      </w:r>
    </w:p>
    <w:p w14:paraId="0777DEC0"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9）公布基金清算公告；</w:t>
      </w:r>
    </w:p>
    <w:p w14:paraId="1CA912B7"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10）对基金剩余财产进行分配。</w:t>
      </w:r>
    </w:p>
    <w:p w14:paraId="1D3FBB58"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（4）清算费用</w:t>
      </w:r>
    </w:p>
    <w:p w14:paraId="3102CFAC"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清算费用是指基金财产清算组在进行基金清算过程中发生的所有合理费用，清算费用由基金清算组优先从基金财产中支付。</w:t>
      </w:r>
    </w:p>
    <w:p w14:paraId="53E5D5DF"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（5）基金剩余财产的分配</w:t>
      </w:r>
    </w:p>
    <w:p w14:paraId="334AA46E"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基金财产按如下顺序进行清偿：</w:t>
      </w:r>
    </w:p>
    <w:p w14:paraId="5192D053"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1）支付基金财产清算费用；</w:t>
      </w:r>
    </w:p>
    <w:p w14:paraId="084EDB1E"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2）缴纳基金所欠税款；</w:t>
      </w:r>
    </w:p>
    <w:p w14:paraId="5438D501"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3）清偿基金债务；</w:t>
      </w:r>
    </w:p>
    <w:p w14:paraId="23506FAA"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4）清算后如有余额，按基金份额持有人持有的基金份额比例进行分配。</w:t>
      </w:r>
    </w:p>
    <w:p w14:paraId="5FD8A09A"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基金财产未按前款1）、2）、3）项规定清偿前，不分配给基金份额持有人。</w:t>
      </w:r>
    </w:p>
    <w:p w14:paraId="1496179A"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（6）基金财产清算的公告</w:t>
      </w:r>
    </w:p>
    <w:p w14:paraId="5D1438C0" w14:textId="77777777" w:rsidR="00154AC6" w:rsidRPr="00487553" w:rsidRDefault="00154AC6" w:rsidP="00D94E68">
      <w:pPr>
        <w:snapToGrid w:val="0"/>
        <w:spacing w:line="360" w:lineRule="auto"/>
        <w:ind w:firstLineChars="200" w:firstLine="420"/>
        <w:rPr>
          <w:rFonts w:asciiTheme="minorEastAsia" w:eastAsiaTheme="minorEastAsia" w:hAnsiTheme="minorEastAsia"/>
          <w:bCs/>
        </w:rPr>
      </w:pPr>
      <w:r w:rsidRPr="00487553">
        <w:rPr>
          <w:rFonts w:asciiTheme="minorEastAsia" w:eastAsiaTheme="minorEastAsia" w:hAnsiTheme="minorEastAsia" w:hint="eastAsia"/>
          <w:bCs/>
        </w:rPr>
        <w:t>清算过程中的有关重大事项须及时公告；基金财产清算组做出的清算报告经会计师事务所审计，律师事务所出具法律意见书后，报中国证监会备案并公告。</w:t>
      </w:r>
    </w:p>
    <w:p w14:paraId="6BD1F45D" w14:textId="77777777" w:rsidR="00E96F02" w:rsidRPr="00487553" w:rsidRDefault="00154AC6"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bCs/>
        </w:rPr>
        <w:t>（7）基金财产清算账册及文件由基金托管人保存期限不少于15年。</w:t>
      </w:r>
    </w:p>
    <w:p w14:paraId="70989316" w14:textId="77777777" w:rsidR="002E4CA6" w:rsidRPr="00487553" w:rsidRDefault="002E4CA6" w:rsidP="00D94E68">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四、争议解决方式</w:t>
      </w:r>
    </w:p>
    <w:p w14:paraId="284FA436" w14:textId="77777777" w:rsidR="00CD7E71" w:rsidRPr="00487553" w:rsidRDefault="00CD7E7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（一）本基金合同适用中华人民共和国法律并从其解释。</w:t>
      </w:r>
    </w:p>
    <w:p w14:paraId="125B70C7" w14:textId="77777777" w:rsidR="00CD7E71" w:rsidRPr="00487553" w:rsidRDefault="00CD7E7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lastRenderedPageBreak/>
        <w:t>（二）本基金合同的当事人之间因本基金合同产生的或与本基金合同有关的争议可首先通过友好协商或调解解决。自一方书面要求协商解决争议之日起六十日内如果争议未能以协商或调解方式解决，则任何一方有权将争议提交设在上海的中国国际经济贸易仲裁委员会上海分会，根据提交仲裁时有效的仲裁规则进行仲裁。仲裁裁决是终局的，对仲裁各方当事人均具有约束力。仲裁费用由败诉方承担。</w:t>
      </w:r>
    </w:p>
    <w:p w14:paraId="59024EDE" w14:textId="77777777" w:rsidR="00906DD5" w:rsidRPr="00487553" w:rsidRDefault="00CD7E7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（三）除争议所涉内容之外，本基金合同的其他部分应当由本基金合同当事人继续履行。</w:t>
      </w:r>
    </w:p>
    <w:p w14:paraId="48988CEA" w14:textId="77777777" w:rsidR="002E4CA6" w:rsidRPr="00487553" w:rsidRDefault="002E4CA6" w:rsidP="00E40AAB">
      <w:pPr>
        <w:snapToGrid w:val="0"/>
        <w:spacing w:line="360" w:lineRule="auto"/>
        <w:ind w:firstLineChars="200" w:firstLine="420"/>
        <w:rPr>
          <w:rFonts w:asciiTheme="minorEastAsia" w:eastAsiaTheme="minorEastAsia" w:hAnsiTheme="minorEastAsia"/>
          <w:bCs/>
          <w:kern w:val="0"/>
          <w:szCs w:val="20"/>
        </w:rPr>
      </w:pPr>
      <w:r w:rsidRPr="00487553">
        <w:rPr>
          <w:rFonts w:asciiTheme="minorEastAsia" w:eastAsiaTheme="minorEastAsia" w:hAnsiTheme="minorEastAsia"/>
          <w:bCs/>
          <w:kern w:val="0"/>
          <w:szCs w:val="20"/>
        </w:rPr>
        <w:t>五、</w:t>
      </w:r>
      <w:r w:rsidRPr="00487553">
        <w:rPr>
          <w:rFonts w:asciiTheme="minorEastAsia" w:eastAsiaTheme="minorEastAsia" w:hAnsiTheme="minorEastAsia"/>
        </w:rPr>
        <w:t>基金合同存放地和投资者取得基金合同的方式</w:t>
      </w:r>
    </w:p>
    <w:p w14:paraId="1F62C6ED" w14:textId="77777777" w:rsidR="00CD7E71" w:rsidRPr="00487553" w:rsidRDefault="003155EB"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基金合同可印制成册，存放在基金管理人和基金托管人住所，供投资者查阅，基金合同条款及内容应以基金合同正本为准。</w:t>
      </w:r>
    </w:p>
    <w:p w14:paraId="2B762460" w14:textId="6FF4883E"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220" w:name="_Toc308697714"/>
      <w:bookmarkStart w:id="1221" w:name="_Toc309286236"/>
      <w:bookmarkStart w:id="1222" w:name="_Toc20148505"/>
      <w:bookmarkEnd w:id="1220"/>
      <w:bookmarkEnd w:id="1221"/>
      <w:r w:rsidRPr="00487553">
        <w:rPr>
          <w:rFonts w:asciiTheme="minorEastAsia" w:eastAsiaTheme="minorEastAsia" w:hAnsiTheme="minorEastAsia"/>
        </w:rPr>
        <w:lastRenderedPageBreak/>
        <w:t>基金托管协议的内容摘要</w:t>
      </w:r>
      <w:bookmarkEnd w:id="1222"/>
    </w:p>
    <w:p w14:paraId="6E5E4C24"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托管协议当事人</w:t>
      </w:r>
    </w:p>
    <w:p w14:paraId="329BF60B" w14:textId="77777777" w:rsidR="00CD14E2" w:rsidRPr="00487553" w:rsidRDefault="00CD14E2"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（一）基金管理人</w:t>
      </w:r>
    </w:p>
    <w:p w14:paraId="243ACC4E"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名称：易方达基金管理有限公司</w:t>
      </w:r>
    </w:p>
    <w:p w14:paraId="7EBC8AAC"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住所：</w:t>
      </w:r>
      <w:r w:rsidR="00666D72" w:rsidRPr="00487553">
        <w:rPr>
          <w:rStyle w:val="da"/>
          <w:rFonts w:asciiTheme="minorEastAsia" w:eastAsiaTheme="minorEastAsia" w:hAnsiTheme="minorEastAsia" w:hint="eastAsia"/>
          <w:szCs w:val="21"/>
        </w:rPr>
        <w:t>广东省</w:t>
      </w:r>
      <w:r w:rsidR="00666D72" w:rsidRPr="00487553">
        <w:rPr>
          <w:rFonts w:asciiTheme="minorEastAsia" w:eastAsiaTheme="minorEastAsia" w:hAnsiTheme="minorEastAsia" w:hint="eastAsia"/>
        </w:rPr>
        <w:t>珠海市横琴新区宝华路6号105室－42891（集中办公区）</w:t>
      </w:r>
    </w:p>
    <w:p w14:paraId="2220ED7C"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办公地址：广东省广州市天河区</w:t>
      </w:r>
      <w:r w:rsidR="00855ED5" w:rsidRPr="00487553">
        <w:rPr>
          <w:rFonts w:asciiTheme="minorEastAsia" w:eastAsiaTheme="minorEastAsia" w:hAnsiTheme="minorEastAsia" w:hint="eastAsia"/>
        </w:rPr>
        <w:t>珠江新城珠江东路30号广州银行大厦40-43楼</w:t>
      </w:r>
    </w:p>
    <w:p w14:paraId="64437168"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法定代表人：</w:t>
      </w:r>
      <w:r w:rsidR="00004B4D" w:rsidRPr="00487553">
        <w:rPr>
          <w:rFonts w:asciiTheme="minorEastAsia" w:eastAsiaTheme="minorEastAsia" w:hAnsiTheme="minorEastAsia" w:hint="eastAsia"/>
        </w:rPr>
        <w:t>刘晓艳</w:t>
      </w:r>
    </w:p>
    <w:p w14:paraId="0A6287F0" w14:textId="16DBD9C2"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成立时间：2001年4月17日</w:t>
      </w:r>
    </w:p>
    <w:p w14:paraId="0105BDE9"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批准设立机关：中国证券监督管理委员会</w:t>
      </w:r>
    </w:p>
    <w:p w14:paraId="54533E34" w14:textId="0B3DABBD"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批准设立文号：证监基金字[2001]4号</w:t>
      </w:r>
    </w:p>
    <w:p w14:paraId="18863154"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经营范围：</w:t>
      </w:r>
      <w:r w:rsidR="00666D72" w:rsidRPr="00487553">
        <w:rPr>
          <w:rStyle w:val="da"/>
          <w:rFonts w:asciiTheme="minorEastAsia" w:eastAsiaTheme="minorEastAsia" w:hAnsiTheme="minorEastAsia" w:hint="eastAsia"/>
        </w:rPr>
        <w:t>公开募集证券投资基金管理、基金销售、特定客户资产管理</w:t>
      </w:r>
    </w:p>
    <w:p w14:paraId="6F1F19B0"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注册资本：</w:t>
      </w:r>
      <w:r w:rsidR="00236B6F" w:rsidRPr="00487553">
        <w:rPr>
          <w:rFonts w:asciiTheme="minorEastAsia" w:eastAsiaTheme="minorEastAsia" w:hAnsiTheme="minorEastAsia"/>
        </w:rPr>
        <w:t>12,000</w:t>
      </w:r>
      <w:r w:rsidR="00236B6F" w:rsidRPr="00487553">
        <w:rPr>
          <w:rFonts w:asciiTheme="minorEastAsia" w:eastAsiaTheme="minorEastAsia" w:hAnsiTheme="minorEastAsia" w:hint="eastAsia"/>
        </w:rPr>
        <w:t>万元人民币</w:t>
      </w:r>
    </w:p>
    <w:p w14:paraId="17295B4B"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组织形式：有限责任公司</w:t>
      </w:r>
    </w:p>
    <w:p w14:paraId="28A00485" w14:textId="77777777" w:rsidR="0052794A"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存续期间：持续经营</w:t>
      </w:r>
    </w:p>
    <w:p w14:paraId="1DDA259B" w14:textId="77777777" w:rsidR="00CD14E2" w:rsidRPr="00487553" w:rsidRDefault="00CD14E2"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rPr>
        <w:t>（二）基金托管人</w:t>
      </w:r>
    </w:p>
    <w:p w14:paraId="54E16321"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名称：交通银行股份有限公司（简称：交通银行）</w:t>
      </w:r>
    </w:p>
    <w:p w14:paraId="65A4CF30" w14:textId="22823AF1" w:rsidR="00197A41" w:rsidRPr="00487553" w:rsidRDefault="00197A41" w:rsidP="00197A41">
      <w:pPr>
        <w:snapToGrid w:val="0"/>
        <w:spacing w:line="360" w:lineRule="auto"/>
        <w:ind w:firstLine="420"/>
        <w:jc w:val="left"/>
        <w:rPr>
          <w:rFonts w:asciiTheme="minorEastAsia" w:eastAsiaTheme="minorEastAsia" w:hAnsiTheme="minorEastAsia"/>
          <w:szCs w:val="20"/>
        </w:rPr>
      </w:pPr>
      <w:r w:rsidRPr="00487553">
        <w:rPr>
          <w:rFonts w:asciiTheme="minorEastAsia" w:eastAsiaTheme="minorEastAsia" w:hAnsiTheme="minorEastAsia" w:hint="eastAsia"/>
          <w:szCs w:val="20"/>
        </w:rPr>
        <w:t>住</w:t>
      </w:r>
      <w:r w:rsidRPr="00487553">
        <w:rPr>
          <w:rFonts w:asciiTheme="minorEastAsia" w:eastAsiaTheme="minorEastAsia" w:hAnsiTheme="minorEastAsia"/>
          <w:szCs w:val="20"/>
        </w:rPr>
        <w:t>所：中国（上海）自由贸易试验区银城中路188号</w:t>
      </w:r>
    </w:p>
    <w:p w14:paraId="7EAD5B58" w14:textId="3268A224" w:rsidR="00197A41" w:rsidRPr="00487553" w:rsidRDefault="00197A41" w:rsidP="00197A41">
      <w:pPr>
        <w:snapToGrid w:val="0"/>
        <w:spacing w:line="360" w:lineRule="auto"/>
        <w:ind w:firstLine="420"/>
        <w:jc w:val="left"/>
        <w:rPr>
          <w:rFonts w:asciiTheme="minorEastAsia" w:eastAsiaTheme="minorEastAsia" w:hAnsiTheme="minorEastAsia"/>
          <w:szCs w:val="20"/>
        </w:rPr>
      </w:pPr>
      <w:r w:rsidRPr="00487553">
        <w:rPr>
          <w:rFonts w:asciiTheme="minorEastAsia" w:eastAsiaTheme="minorEastAsia" w:hAnsiTheme="minorEastAsia" w:hint="eastAsia"/>
          <w:szCs w:val="20"/>
        </w:rPr>
        <w:t>办公地址：</w:t>
      </w:r>
      <w:r w:rsidR="00325B83" w:rsidRPr="00487553">
        <w:rPr>
          <w:rFonts w:asciiTheme="minorEastAsia" w:eastAsiaTheme="minorEastAsia" w:hAnsiTheme="minorEastAsia" w:hint="eastAsia"/>
          <w:szCs w:val="20"/>
        </w:rPr>
        <w:t>中国（上海）长宁区仙霞路18号</w:t>
      </w:r>
    </w:p>
    <w:p w14:paraId="506B3967" w14:textId="6B240664"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法定代表人：</w:t>
      </w:r>
      <w:r w:rsidR="00197A41" w:rsidRPr="00487553">
        <w:rPr>
          <w:rFonts w:asciiTheme="minorEastAsia" w:eastAsiaTheme="minorEastAsia" w:hAnsiTheme="minorEastAsia" w:hint="eastAsia"/>
          <w:szCs w:val="20"/>
        </w:rPr>
        <w:t>彭纯</w:t>
      </w:r>
    </w:p>
    <w:p w14:paraId="3C85F69D"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成立时间：1987年3月30日</w:t>
      </w:r>
    </w:p>
    <w:p w14:paraId="7A52C8D6" w14:textId="791C04F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批准设立机关及批准设立文号：国务院国发</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1986</w:t>
      </w:r>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字第81号文和中国人民银行银发［1987］40号文</w:t>
      </w:r>
    </w:p>
    <w:p w14:paraId="54EFB7D8"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基金托管业务批准文号：中国证监会证监基字［1998］25号</w:t>
      </w:r>
    </w:p>
    <w:p w14:paraId="0B6CCE49"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683280D0" w14:textId="5AB0BAA9"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注册资本：</w:t>
      </w:r>
      <w:r w:rsidR="00325B83" w:rsidRPr="00487553">
        <w:rPr>
          <w:rFonts w:asciiTheme="minorEastAsia" w:eastAsiaTheme="minorEastAsia" w:hAnsiTheme="minorEastAsia" w:hint="eastAsia"/>
          <w:szCs w:val="21"/>
        </w:rPr>
        <w:t>742.63亿元</w:t>
      </w:r>
    </w:p>
    <w:p w14:paraId="74849189" w14:textId="77777777" w:rsidR="007A1DE7" w:rsidRPr="00487553" w:rsidRDefault="007A1DE7"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组织形式：股份有限公司</w:t>
      </w:r>
    </w:p>
    <w:p w14:paraId="1CD03D24" w14:textId="77777777" w:rsidR="00BA2CB7" w:rsidRPr="00487553" w:rsidRDefault="007A1DE7" w:rsidP="00D94E68">
      <w:pPr>
        <w:snapToGrid w:val="0"/>
        <w:spacing w:line="360" w:lineRule="auto"/>
        <w:ind w:firstLineChars="200" w:firstLine="420"/>
        <w:rPr>
          <w:rFonts w:asciiTheme="minorEastAsia" w:eastAsiaTheme="minorEastAsia" w:hAnsiTheme="minorEastAsia"/>
          <w:b/>
        </w:rPr>
      </w:pPr>
      <w:r w:rsidRPr="00487553">
        <w:rPr>
          <w:rFonts w:asciiTheme="minorEastAsia" w:eastAsiaTheme="minorEastAsia" w:hAnsiTheme="minorEastAsia" w:hint="eastAsia"/>
        </w:rPr>
        <w:t>存续期间：持续经营</w:t>
      </w:r>
    </w:p>
    <w:p w14:paraId="7BC65807"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基金托管人对基金管理人的业务监督和核查</w:t>
      </w:r>
    </w:p>
    <w:p w14:paraId="032C0F77"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bookmarkStart w:id="1223" w:name="_Toc310513401"/>
      <w:bookmarkStart w:id="1224" w:name="_Toc323051080"/>
      <w:r w:rsidRPr="00487553">
        <w:rPr>
          <w:rFonts w:asciiTheme="minorEastAsia" w:eastAsiaTheme="minorEastAsia" w:hAnsiTheme="minorEastAsia" w:hint="eastAsia"/>
          <w:kern w:val="0"/>
          <w:szCs w:val="21"/>
        </w:rPr>
        <w:t>（一）基金托管人对基金管理人的投资行为行使监督权</w:t>
      </w:r>
      <w:bookmarkEnd w:id="1223"/>
      <w:bookmarkEnd w:id="1224"/>
    </w:p>
    <w:p w14:paraId="4C59F2B7"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bookmarkStart w:id="1225" w:name="_Toc310513402"/>
      <w:bookmarkStart w:id="1226" w:name="_Toc323051081"/>
      <w:r w:rsidRPr="00487553">
        <w:rPr>
          <w:rFonts w:asciiTheme="minorEastAsia" w:eastAsiaTheme="minorEastAsia" w:hAnsiTheme="minorEastAsia" w:hint="eastAsia"/>
          <w:kern w:val="0"/>
          <w:szCs w:val="21"/>
        </w:rPr>
        <w:lastRenderedPageBreak/>
        <w:t>1、基金托管人根据有关法律法规的规定及《基金合同》和本协议的约定，对基金的投资范围、投资对象进行监督。</w:t>
      </w:r>
      <w:bookmarkEnd w:id="1225"/>
      <w:bookmarkEnd w:id="1226"/>
    </w:p>
    <w:p w14:paraId="31C12FF3" w14:textId="77777777" w:rsidR="00363389" w:rsidRPr="00487553" w:rsidRDefault="00363389"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本基金的投资范围为：</w:t>
      </w:r>
      <w:r w:rsidRPr="00487553">
        <w:rPr>
          <w:rFonts w:asciiTheme="minorEastAsia" w:eastAsiaTheme="minorEastAsia" w:hAnsiTheme="minorEastAsia" w:cs="Arial" w:hint="eastAsia"/>
          <w:szCs w:val="21"/>
        </w:rPr>
        <w:t>本基金资产投资于具有良好流动性的金融工具，包括目标ETF、境外交易的跟踪同一标的指数的公募基金、恒生中国企业指数成份股及备选成份股、跟踪恒生中国企业指数的股指期货等金融衍生品、固定收益类证券、银行存款、货币市场工具以及法律法规或中国证监会允许基金投资的其他金融工具。本基金根据相关法律法规或中国证监会要求履行相关手续后，还可以投资于法律法规或中国证监会未来允许基金投资的其它金融工具，但须符合中国证监会的相关规定。</w:t>
      </w:r>
    </w:p>
    <w:p w14:paraId="5B59431C" w14:textId="77777777" w:rsidR="00363389" w:rsidRPr="00487553" w:rsidRDefault="00363389" w:rsidP="00D94E68">
      <w:pPr>
        <w:snapToGrid w:val="0"/>
        <w:spacing w:line="360" w:lineRule="auto"/>
        <w:ind w:firstLineChars="200" w:firstLine="420"/>
        <w:rPr>
          <w:rFonts w:asciiTheme="minorEastAsia" w:eastAsiaTheme="minorEastAsia" w:hAnsiTheme="minorEastAsia" w:cs="Arial"/>
          <w:szCs w:val="21"/>
        </w:rPr>
      </w:pPr>
      <w:r w:rsidRPr="00487553">
        <w:rPr>
          <w:rFonts w:asciiTheme="minorEastAsia" w:eastAsiaTheme="minorEastAsia" w:hAnsiTheme="minorEastAsia" w:cs="Arial"/>
          <w:szCs w:val="21"/>
        </w:rPr>
        <w:t>本基金</w:t>
      </w:r>
      <w:r w:rsidRPr="00487553">
        <w:rPr>
          <w:rFonts w:asciiTheme="minorEastAsia" w:eastAsiaTheme="minorEastAsia" w:hAnsiTheme="minorEastAsia" w:cs="Arial" w:hint="eastAsia"/>
          <w:szCs w:val="21"/>
        </w:rPr>
        <w:t>资产中投资于目标ETF的</w:t>
      </w:r>
      <w:r w:rsidRPr="00487553">
        <w:rPr>
          <w:rFonts w:asciiTheme="minorEastAsia" w:eastAsiaTheme="minorEastAsia" w:hAnsiTheme="minorEastAsia" w:cs="Arial"/>
          <w:szCs w:val="21"/>
        </w:rPr>
        <w:t>比例不低于基金资产</w:t>
      </w:r>
      <w:r w:rsidRPr="00487553">
        <w:rPr>
          <w:rFonts w:asciiTheme="minorEastAsia" w:eastAsiaTheme="minorEastAsia" w:hAnsiTheme="minorEastAsia" w:cs="Arial" w:hint="eastAsia"/>
          <w:szCs w:val="21"/>
        </w:rPr>
        <w:t>净值</w:t>
      </w:r>
      <w:r w:rsidRPr="00487553">
        <w:rPr>
          <w:rFonts w:asciiTheme="minorEastAsia" w:eastAsiaTheme="minorEastAsia" w:hAnsiTheme="minorEastAsia" w:cs="Arial"/>
          <w:szCs w:val="21"/>
        </w:rPr>
        <w:t>的9</w:t>
      </w:r>
      <w:r w:rsidRPr="00487553">
        <w:rPr>
          <w:rFonts w:asciiTheme="minorEastAsia" w:eastAsiaTheme="minorEastAsia" w:hAnsiTheme="minorEastAsia" w:cs="Arial" w:hint="eastAsia"/>
          <w:szCs w:val="21"/>
        </w:rPr>
        <w:t>0</w:t>
      </w:r>
      <w:r w:rsidRPr="00487553">
        <w:rPr>
          <w:rFonts w:asciiTheme="minorEastAsia" w:eastAsiaTheme="minorEastAsia" w:hAnsiTheme="minorEastAsia" w:cs="Arial"/>
          <w:szCs w:val="21"/>
        </w:rPr>
        <w:t>%</w:t>
      </w:r>
      <w:r w:rsidRPr="00487553">
        <w:rPr>
          <w:rFonts w:asciiTheme="minorEastAsia" w:eastAsiaTheme="minorEastAsia" w:hAnsiTheme="minorEastAsia" w:cs="Arial" w:hint="eastAsia"/>
          <w:szCs w:val="21"/>
        </w:rPr>
        <w:t>，现金或者到期日在一年以内的政府债券不低于基金资产净值的</w:t>
      </w:r>
      <w:r w:rsidRPr="00487553">
        <w:rPr>
          <w:rFonts w:asciiTheme="minorEastAsia" w:eastAsiaTheme="minorEastAsia" w:hAnsiTheme="minorEastAsia" w:cs="Arial"/>
          <w:szCs w:val="21"/>
        </w:rPr>
        <w:t>5%</w:t>
      </w:r>
      <w:r w:rsidR="00377D45" w:rsidRPr="00487553">
        <w:rPr>
          <w:rFonts w:asciiTheme="minorEastAsia" w:eastAsiaTheme="minorEastAsia" w:hAnsiTheme="minorEastAsia" w:cs="Arial" w:hint="eastAsia"/>
          <w:szCs w:val="21"/>
        </w:rPr>
        <w:t>，现金不包括结算备付金、存出保证金、应收申购款等</w:t>
      </w:r>
      <w:r w:rsidRPr="00487553">
        <w:rPr>
          <w:rFonts w:asciiTheme="minorEastAsia" w:eastAsiaTheme="minorEastAsia" w:hAnsiTheme="minorEastAsia" w:cs="Arial" w:hint="eastAsia"/>
          <w:szCs w:val="21"/>
        </w:rPr>
        <w:t>。</w:t>
      </w:r>
    </w:p>
    <w:p w14:paraId="0A706E1B"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基金托管人对基金管理人业务进行监督和核查的义务自基金合同生效日起开始履行。</w:t>
      </w:r>
    </w:p>
    <w:p w14:paraId="163CA8A0"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bookmarkStart w:id="1227" w:name="_Toc310513403"/>
      <w:bookmarkStart w:id="1228" w:name="_Toc323051082"/>
      <w:r w:rsidRPr="00487553">
        <w:rPr>
          <w:rFonts w:asciiTheme="minorEastAsia" w:eastAsiaTheme="minorEastAsia" w:hAnsiTheme="minorEastAsia" w:hint="eastAsia"/>
          <w:kern w:val="0"/>
          <w:szCs w:val="21"/>
        </w:rPr>
        <w:t>2、基金托管人根据有关法律法规的规定及《基金合同》和本协议的约定，对基金投资、融资比例进行监督。</w:t>
      </w:r>
      <w:bookmarkEnd w:id="1227"/>
      <w:bookmarkEnd w:id="1228"/>
    </w:p>
    <w:p w14:paraId="301DB90C" w14:textId="77777777" w:rsidR="00363389" w:rsidRPr="00487553" w:rsidRDefault="00363389" w:rsidP="00D94E68">
      <w:pPr>
        <w:autoSpaceDE w:val="0"/>
        <w:autoSpaceDN w:val="0"/>
        <w:snapToGrid w:val="0"/>
        <w:spacing w:line="360" w:lineRule="auto"/>
        <w:ind w:firstLineChars="200" w:firstLine="420"/>
        <w:textAlignment w:val="bottom"/>
        <w:rPr>
          <w:rFonts w:asciiTheme="minorEastAsia" w:eastAsiaTheme="minorEastAsia" w:hAnsiTheme="minorEastAsia" w:cs="Arial"/>
          <w:szCs w:val="21"/>
        </w:rPr>
      </w:pPr>
      <w:r w:rsidRPr="00487553">
        <w:rPr>
          <w:rFonts w:asciiTheme="minorEastAsia" w:eastAsiaTheme="minorEastAsia" w:hAnsiTheme="minorEastAsia" w:cs="Arial" w:hint="eastAsia"/>
          <w:szCs w:val="21"/>
        </w:rPr>
        <w:t>基金托管人对本基金的投资组合限制及调整期限进行监督。</w:t>
      </w:r>
    </w:p>
    <w:p w14:paraId="7F50E0AA" w14:textId="77777777" w:rsidR="00363389" w:rsidRPr="00487553" w:rsidRDefault="00363389" w:rsidP="00D94E68">
      <w:pPr>
        <w:autoSpaceDE w:val="0"/>
        <w:autoSpaceDN w:val="0"/>
        <w:snapToGrid w:val="0"/>
        <w:spacing w:line="360" w:lineRule="auto"/>
        <w:ind w:firstLineChars="200" w:firstLine="420"/>
        <w:textAlignment w:val="bottom"/>
        <w:rPr>
          <w:rFonts w:asciiTheme="minorEastAsia" w:eastAsiaTheme="minorEastAsia" w:hAnsiTheme="minorEastAsia"/>
          <w:kern w:val="0"/>
          <w:szCs w:val="21"/>
        </w:rPr>
      </w:pPr>
      <w:r w:rsidRPr="00487553">
        <w:rPr>
          <w:rFonts w:asciiTheme="minorEastAsia" w:eastAsiaTheme="minorEastAsia" w:hAnsiTheme="minorEastAsia" w:cs="Arial" w:hint="eastAsia"/>
          <w:szCs w:val="21"/>
        </w:rPr>
        <w:t>若基金投资不符合基金合同约定的投资比例规定的，基金管理人应当在30个</w:t>
      </w:r>
      <w:r w:rsidRPr="00487553">
        <w:rPr>
          <w:rFonts w:asciiTheme="minorEastAsia" w:eastAsiaTheme="minorEastAsia" w:hAnsiTheme="minorEastAsia" w:hint="eastAsia"/>
          <w:kern w:val="0"/>
          <w:szCs w:val="21"/>
        </w:rPr>
        <w:t>工</w:t>
      </w:r>
      <w:r w:rsidRPr="00487553">
        <w:rPr>
          <w:rFonts w:asciiTheme="minorEastAsia" w:eastAsiaTheme="minorEastAsia" w:hAnsiTheme="minorEastAsia" w:cs="Arial" w:hint="eastAsia"/>
          <w:szCs w:val="21"/>
        </w:rPr>
        <w:t>作日内</w:t>
      </w:r>
      <w:r w:rsidRPr="00487553">
        <w:rPr>
          <w:rFonts w:asciiTheme="minorEastAsia" w:eastAsiaTheme="minorEastAsia" w:hAnsiTheme="minorEastAsia" w:cs="Arial"/>
          <w:szCs w:val="21"/>
        </w:rPr>
        <w:t>采用合理的商业措施</w:t>
      </w:r>
      <w:r w:rsidRPr="00487553">
        <w:rPr>
          <w:rFonts w:asciiTheme="minorEastAsia" w:eastAsiaTheme="minorEastAsia" w:hAnsiTheme="minorEastAsia" w:cs="Arial" w:hint="eastAsia"/>
          <w:szCs w:val="21"/>
        </w:rPr>
        <w:t>进行调整。</w:t>
      </w:r>
      <w:r w:rsidRPr="00487553">
        <w:rPr>
          <w:rFonts w:asciiTheme="minorEastAsia" w:eastAsiaTheme="minorEastAsia" w:hAnsiTheme="minorEastAsia" w:hint="eastAsia"/>
          <w:kern w:val="0"/>
          <w:szCs w:val="21"/>
        </w:rPr>
        <w:t>法律法规另有规定时，从其规定。</w:t>
      </w:r>
    </w:p>
    <w:p w14:paraId="5CC7DBC2" w14:textId="77777777" w:rsidR="00363389" w:rsidRPr="00487553" w:rsidRDefault="00363389" w:rsidP="00D94E68">
      <w:pPr>
        <w:autoSpaceDE w:val="0"/>
        <w:autoSpaceDN w:val="0"/>
        <w:snapToGrid w:val="0"/>
        <w:spacing w:line="360" w:lineRule="auto"/>
        <w:ind w:firstLineChars="200" w:firstLine="420"/>
        <w:textAlignment w:val="bottom"/>
        <w:rPr>
          <w:rFonts w:asciiTheme="minorEastAsia" w:eastAsiaTheme="minorEastAsia" w:hAnsiTheme="minorEastAsia" w:cs="Arial"/>
          <w:szCs w:val="21"/>
        </w:rPr>
      </w:pPr>
      <w:r w:rsidRPr="00487553">
        <w:rPr>
          <w:rFonts w:asciiTheme="minorEastAsia" w:eastAsiaTheme="minorEastAsia" w:hAnsiTheme="minorEastAsia" w:hint="eastAsia"/>
          <w:bCs/>
          <w:szCs w:val="21"/>
        </w:rPr>
        <w:t>3、基金托管人根据有关法律法规的规定及基金合同和本协议的约定，对基金投资禁止行为进行监督。</w:t>
      </w:r>
    </w:p>
    <w:p w14:paraId="7A468102"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根据法律法规有关基金禁止从事的关联交易的规定，基金合同生效后</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个工作日内，基金管理人和基金托管人应相互提供与本机构有控股关系的股东或者与本机构有其他重大利害关系的公司名单，以上名单发生变化的，应及时予以更新并通知对方。</w:t>
      </w:r>
    </w:p>
    <w:p w14:paraId="7DD01A44" w14:textId="77777777" w:rsidR="00B0059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cs="宋体" w:hint="eastAsia"/>
          <w:kern w:val="0"/>
          <w:szCs w:val="21"/>
        </w:rPr>
        <w:t>4、</w:t>
      </w:r>
      <w:r w:rsidRPr="00487553">
        <w:rPr>
          <w:rFonts w:asciiTheme="minorEastAsia" w:eastAsiaTheme="minorEastAsia" w:hAnsiTheme="minorEastAsia" w:cs="宋体"/>
          <w:kern w:val="0"/>
          <w:szCs w:val="21"/>
        </w:rPr>
        <w:t>基金托管人根据有关法律法规的规定及《基金合同》的约定对基金关联交易限制进行监督。</w:t>
      </w:r>
    </w:p>
    <w:p w14:paraId="338C9C50"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w:t>
      </w:r>
    </w:p>
    <w:p w14:paraId="34557B69"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如果基金托管人在运作中</w:t>
      </w:r>
      <w:r w:rsidR="00383036" w:rsidRPr="00487553">
        <w:rPr>
          <w:rFonts w:asciiTheme="minorEastAsia" w:eastAsiaTheme="minorEastAsia" w:hAnsiTheme="minorEastAsia" w:hint="eastAsia"/>
          <w:kern w:val="0"/>
          <w:szCs w:val="21"/>
        </w:rPr>
        <w:t>发现并提醒了基金管理人</w:t>
      </w:r>
      <w:r w:rsidRPr="00487553">
        <w:rPr>
          <w:rFonts w:asciiTheme="minorEastAsia" w:eastAsiaTheme="minorEastAsia" w:hAnsiTheme="minorEastAsia"/>
          <w:kern w:val="0"/>
          <w:szCs w:val="21"/>
        </w:rPr>
        <w:t>，基金管理人仍违规进行关联交易，并造成基金资产损失的，由基金管理人承担责任</w:t>
      </w:r>
      <w:r w:rsidRPr="00487553">
        <w:rPr>
          <w:rFonts w:asciiTheme="minorEastAsia" w:eastAsiaTheme="minorEastAsia" w:hAnsiTheme="minorEastAsia" w:hint="eastAsia"/>
          <w:kern w:val="0"/>
          <w:szCs w:val="21"/>
        </w:rPr>
        <w:t>。</w:t>
      </w:r>
    </w:p>
    <w:p w14:paraId="4E6C3686" w14:textId="42F77AA1"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lastRenderedPageBreak/>
        <w:t>5、基金托管人对基金投资中期票据的监督</w:t>
      </w:r>
    </w:p>
    <w:p w14:paraId="2874822E"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（1）基金投资中期票据应遵守</w:t>
      </w:r>
      <w:r w:rsidRPr="00487553">
        <w:rPr>
          <w:rFonts w:asciiTheme="minorEastAsia" w:eastAsiaTheme="minorEastAsia" w:hAnsiTheme="minorEastAsia"/>
          <w:kern w:val="0"/>
          <w:szCs w:val="21"/>
        </w:rPr>
        <w:t>《关于</w:t>
      </w:r>
      <w:r w:rsidRPr="00487553">
        <w:rPr>
          <w:rFonts w:asciiTheme="minorEastAsia" w:eastAsiaTheme="minorEastAsia" w:hAnsiTheme="minorEastAsia" w:hint="eastAsia"/>
          <w:kern w:val="0"/>
          <w:szCs w:val="21"/>
        </w:rPr>
        <w:t>证券投资</w:t>
      </w:r>
      <w:r w:rsidRPr="00487553">
        <w:rPr>
          <w:rFonts w:asciiTheme="minorEastAsia" w:eastAsiaTheme="minorEastAsia" w:hAnsiTheme="minorEastAsia"/>
          <w:kern w:val="0"/>
          <w:szCs w:val="21"/>
        </w:rPr>
        <w:t>基金投资</w:t>
      </w:r>
      <w:r w:rsidRPr="00487553">
        <w:rPr>
          <w:rFonts w:asciiTheme="minorEastAsia" w:eastAsiaTheme="minorEastAsia" w:hAnsiTheme="minorEastAsia" w:hint="eastAsia"/>
          <w:kern w:val="0"/>
          <w:szCs w:val="21"/>
        </w:rPr>
        <w:t>中期票据</w:t>
      </w:r>
      <w:r w:rsidRPr="00487553">
        <w:rPr>
          <w:rFonts w:asciiTheme="minorEastAsia" w:eastAsiaTheme="minorEastAsia" w:hAnsiTheme="minorEastAsia"/>
          <w:kern w:val="0"/>
          <w:szCs w:val="21"/>
        </w:rPr>
        <w:t>有关问题的通知》</w:t>
      </w:r>
      <w:r w:rsidRPr="00487553">
        <w:rPr>
          <w:rFonts w:asciiTheme="minorEastAsia" w:eastAsiaTheme="minorEastAsia" w:hAnsiTheme="minorEastAsia" w:hint="eastAsia"/>
          <w:kern w:val="0"/>
          <w:szCs w:val="21"/>
        </w:rPr>
        <w:t>等有关法律法规的规定，并与资产托管人签订《</w:t>
      </w:r>
      <w:r w:rsidRPr="00487553">
        <w:rPr>
          <w:rFonts w:asciiTheme="minorEastAsia" w:eastAsiaTheme="minorEastAsia" w:hAnsiTheme="minorEastAsia" w:hint="eastAsia"/>
          <w:bCs/>
          <w:kern w:val="0"/>
          <w:szCs w:val="21"/>
        </w:rPr>
        <w:t>基金投资中期票据风险控制补充协议》。</w:t>
      </w:r>
    </w:p>
    <w:p w14:paraId="18B2EDD7"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（2）基金管理人应将</w:t>
      </w:r>
      <w:r w:rsidRPr="00487553">
        <w:rPr>
          <w:rFonts w:asciiTheme="minorEastAsia" w:eastAsiaTheme="minorEastAsia" w:hAnsiTheme="minorEastAsia"/>
          <w:kern w:val="0"/>
          <w:szCs w:val="21"/>
        </w:rPr>
        <w:t>经董事会批准</w:t>
      </w:r>
      <w:r w:rsidRPr="00487553">
        <w:rPr>
          <w:rFonts w:asciiTheme="minorEastAsia" w:eastAsiaTheme="minorEastAsia" w:hAnsiTheme="minorEastAsia" w:hint="eastAsia"/>
          <w:kern w:val="0"/>
          <w:szCs w:val="21"/>
        </w:rPr>
        <w:t>的</w:t>
      </w:r>
      <w:r w:rsidRPr="00487553">
        <w:rPr>
          <w:rFonts w:asciiTheme="minorEastAsia" w:eastAsiaTheme="minorEastAsia" w:hAnsiTheme="minorEastAsia"/>
          <w:kern w:val="0"/>
          <w:szCs w:val="21"/>
        </w:rPr>
        <w:t>相关投资决策流程、风险控制制度</w:t>
      </w:r>
      <w:r w:rsidRPr="00487553">
        <w:rPr>
          <w:rFonts w:asciiTheme="minorEastAsia" w:eastAsiaTheme="minorEastAsia" w:hAnsiTheme="minorEastAsia" w:hint="eastAsia"/>
          <w:kern w:val="0"/>
          <w:szCs w:val="21"/>
        </w:rPr>
        <w:t>以及</w:t>
      </w:r>
      <w:r w:rsidRPr="00487553">
        <w:rPr>
          <w:rFonts w:asciiTheme="minorEastAsia" w:eastAsiaTheme="minorEastAsia" w:hAnsiTheme="minorEastAsia"/>
          <w:kern w:val="0"/>
          <w:szCs w:val="21"/>
        </w:rPr>
        <w:t>基金投资</w:t>
      </w:r>
      <w:r w:rsidRPr="00487553">
        <w:rPr>
          <w:rFonts w:asciiTheme="minorEastAsia" w:eastAsiaTheme="minorEastAsia" w:hAnsiTheme="minorEastAsia" w:hint="eastAsia"/>
          <w:kern w:val="0"/>
          <w:szCs w:val="21"/>
        </w:rPr>
        <w:t>中期票据</w:t>
      </w:r>
      <w:r w:rsidRPr="00487553">
        <w:rPr>
          <w:rFonts w:asciiTheme="minorEastAsia" w:eastAsiaTheme="minorEastAsia" w:hAnsiTheme="minorEastAsia"/>
          <w:kern w:val="0"/>
          <w:szCs w:val="21"/>
        </w:rPr>
        <w:t>相关流动性风险处置预案</w:t>
      </w:r>
      <w:r w:rsidRPr="00487553">
        <w:rPr>
          <w:rFonts w:asciiTheme="minorEastAsia" w:eastAsiaTheme="minorEastAsia" w:hAnsiTheme="minorEastAsia" w:hint="eastAsia"/>
          <w:kern w:val="0"/>
          <w:szCs w:val="21"/>
        </w:rPr>
        <w:t>提供给资产托管人，资产托管人</w:t>
      </w:r>
      <w:r w:rsidRPr="00487553">
        <w:rPr>
          <w:rFonts w:asciiTheme="minorEastAsia" w:eastAsiaTheme="minorEastAsia" w:hAnsiTheme="minorEastAsia"/>
          <w:kern w:val="0"/>
          <w:szCs w:val="21"/>
        </w:rPr>
        <w:t>对</w:t>
      </w:r>
      <w:r w:rsidRPr="00487553">
        <w:rPr>
          <w:rFonts w:asciiTheme="minorEastAsia" w:eastAsiaTheme="minorEastAsia" w:hAnsiTheme="minorEastAsia" w:hint="eastAsia"/>
          <w:kern w:val="0"/>
          <w:szCs w:val="21"/>
        </w:rPr>
        <w:t>资产管理人</w:t>
      </w:r>
      <w:r w:rsidRPr="00487553">
        <w:rPr>
          <w:rFonts w:asciiTheme="minorEastAsia" w:eastAsiaTheme="minorEastAsia" w:hAnsiTheme="minorEastAsia"/>
          <w:kern w:val="0"/>
          <w:szCs w:val="21"/>
        </w:rPr>
        <w:t>是否遵守相关制度、流动性风险处置预案以及相关投资额度和比例的情况进行监督。</w:t>
      </w:r>
    </w:p>
    <w:p w14:paraId="235AFD64"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确定基金投资中期票据的，应根据《托管协议》及相关补充协议的约定向资产托管人提供其托管基金拟购买中期票据的数量和价格、应划付的金额等执行指令所需相关信息，并保证上述信息的真实、准确、完整。</w:t>
      </w:r>
    </w:p>
    <w:p w14:paraId="74B7A637" w14:textId="2B2858EB"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基金托管人应对基金管理人提供的有关书面信息</w:t>
      </w:r>
      <w:r w:rsidRPr="00487553">
        <w:rPr>
          <w:rFonts w:asciiTheme="minorEastAsia" w:eastAsiaTheme="minorEastAsia" w:hAnsiTheme="minorEastAsia" w:hint="eastAsia"/>
          <w:kern w:val="0"/>
          <w:szCs w:val="21"/>
        </w:rPr>
        <w:t>进行审核，</w:t>
      </w:r>
      <w:r w:rsidRPr="00487553">
        <w:rPr>
          <w:rFonts w:asciiTheme="minorEastAsia" w:eastAsiaTheme="minorEastAsia" w:hAnsiTheme="minorEastAsia"/>
          <w:kern w:val="0"/>
          <w:szCs w:val="21"/>
        </w:rPr>
        <w:t>基金托管人认为上述资料可能导致基金</w:t>
      </w:r>
      <w:r w:rsidRPr="00487553">
        <w:rPr>
          <w:rFonts w:asciiTheme="minorEastAsia" w:eastAsiaTheme="minorEastAsia" w:hAnsiTheme="minorEastAsia" w:hint="eastAsia"/>
          <w:kern w:val="0"/>
          <w:szCs w:val="21"/>
        </w:rPr>
        <w:t>投资</w:t>
      </w:r>
      <w:r w:rsidRPr="00487553">
        <w:rPr>
          <w:rFonts w:asciiTheme="minorEastAsia" w:eastAsiaTheme="minorEastAsia" w:hAnsiTheme="minorEastAsia"/>
          <w:kern w:val="0"/>
          <w:szCs w:val="21"/>
        </w:rPr>
        <w:t>出现风险的,有权要求基金管理人在投资</w:t>
      </w:r>
      <w:r w:rsidRPr="00487553">
        <w:rPr>
          <w:rFonts w:asciiTheme="minorEastAsia" w:eastAsiaTheme="minorEastAsia" w:hAnsiTheme="minorEastAsia" w:hint="eastAsia"/>
          <w:kern w:val="0"/>
          <w:szCs w:val="21"/>
        </w:rPr>
        <w:t>中期票据</w:t>
      </w:r>
      <w:r w:rsidRPr="00487553">
        <w:rPr>
          <w:rFonts w:asciiTheme="minorEastAsia" w:eastAsiaTheme="minorEastAsia" w:hAnsiTheme="minorEastAsia"/>
          <w:kern w:val="0"/>
          <w:szCs w:val="21"/>
        </w:rPr>
        <w:t>前就该风险的消除或防范措施进行补充书面说明,并保留查看基金管理人风险管理部门就基金投资</w:t>
      </w:r>
      <w:r w:rsidRPr="00487553">
        <w:rPr>
          <w:rFonts w:asciiTheme="minorEastAsia" w:eastAsiaTheme="minorEastAsia" w:hAnsiTheme="minorEastAsia" w:hint="eastAsia"/>
          <w:kern w:val="0"/>
          <w:szCs w:val="21"/>
        </w:rPr>
        <w:t>中期票据</w:t>
      </w:r>
      <w:r w:rsidRPr="00487553">
        <w:rPr>
          <w:rFonts w:asciiTheme="minorEastAsia" w:eastAsiaTheme="minorEastAsia" w:hAnsiTheme="minorEastAsia"/>
          <w:kern w:val="0"/>
          <w:szCs w:val="21"/>
        </w:rPr>
        <w:t>出具的风险评估报告等备查资料的权利。否则,基金托管人有权拒绝执行有关指令。因拒绝执行该指令造成基金财产损失的,基金托管人不承担任何责任,并有权报告中国证监会。</w:t>
      </w:r>
    </w:p>
    <w:p w14:paraId="4470715C"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kern w:val="0"/>
          <w:szCs w:val="21"/>
        </w:rPr>
        <w:t>如基金管理人和基金托管人无法达成一致,应及时上报中国证监会请求解决。如果基金托管人切实履行监督职责,则不承担任何责任。</w:t>
      </w:r>
    </w:p>
    <w:p w14:paraId="28B9A71F"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6、基金托管人根据有关法律法规的规定及基金合同和本协议的约定，对基金管理人参与银行间债券市场进行监督。</w:t>
      </w:r>
    </w:p>
    <w:p w14:paraId="754D1BC9"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（1）基金托管人依据有关法律法规的规定和《基金合同》的约定对于基金</w:t>
      </w:r>
      <w:r w:rsidR="009F148B" w:rsidRPr="00487553">
        <w:rPr>
          <w:rFonts w:asciiTheme="minorEastAsia" w:eastAsiaTheme="minorEastAsia" w:hAnsiTheme="minorEastAsia" w:hint="eastAsia"/>
          <w:kern w:val="0"/>
          <w:szCs w:val="21"/>
        </w:rPr>
        <w:t>管理人参与银行间市场交易的交易对手进行监督</w:t>
      </w:r>
      <w:r w:rsidRPr="00487553">
        <w:rPr>
          <w:rFonts w:asciiTheme="minorEastAsia" w:eastAsiaTheme="minorEastAsia" w:hAnsiTheme="minorEastAsia" w:hint="eastAsia"/>
          <w:kern w:val="0"/>
          <w:szCs w:val="21"/>
        </w:rPr>
        <w:t>。</w:t>
      </w:r>
    </w:p>
    <w:p w14:paraId="2A2FF1D2"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基金管理人向基金托管人提供符合法律法规及行业标准的银行间市场交易对手的名单。基金托管人在收到名单后</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个工作日内电话或回函确认收到该名单。基金管理人应定期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p>
    <w:p w14:paraId="0C5CCC40"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（2）基金管理人参与银行间市场交易时，有责任控制交易对手的资信风险，由于交易对手资信风险引起的损失,基金管理人应当负责向相关责任人追偿。</w:t>
      </w:r>
    </w:p>
    <w:p w14:paraId="5F146740"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7</w:t>
      </w:r>
      <w:r w:rsidRPr="00487553">
        <w:rPr>
          <w:rFonts w:asciiTheme="minorEastAsia" w:eastAsiaTheme="minorEastAsia" w:hAnsiTheme="minorEastAsia" w:cs="宋体"/>
          <w:kern w:val="0"/>
          <w:szCs w:val="21"/>
        </w:rPr>
        <w:t>、基金托管人对基金管理人选择存款银行进行监督</w:t>
      </w:r>
    </w:p>
    <w:p w14:paraId="2CC9DE57"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57636C25"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本基金投资银行存款应符合如下规定：</w:t>
      </w:r>
    </w:p>
    <w:p w14:paraId="1C38BEA8"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（1）基金管理人、基金托管人应当与存款银行建立定期对账机制，确保基金银行存款业务账目及核算的真实、准确。</w:t>
      </w:r>
    </w:p>
    <w:p w14:paraId="47F6E622"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65E77B8B"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（3）基金托管人应加强对基金银行存款业务的监督与核查，严格审查、复核相关协议、账户资料、投资指令、存款证实书等有关文件，切实履行托管职责。</w:t>
      </w:r>
    </w:p>
    <w:p w14:paraId="7C7B717D"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（4）基金管理人与基金托管人在开展基金存款业务时，应严格遵守《基金法》、《运作办法》等有关法律法规，以及国家有关账户管理、利率管理、支付结算等的各项规定。</w:t>
      </w:r>
    </w:p>
    <w:p w14:paraId="26BDBB21"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8、基金托管人对基金投资流通受限证券的监督</w:t>
      </w:r>
    </w:p>
    <w:p w14:paraId="57C0980F"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基金投资流通受限证券,应遵守《关于规范基金投资非公开发行证券行为的紧急通知》、《关于基金投资非公开发行股票等流通受限证券有关问题的通知》等有关法律法规规定。</w:t>
      </w:r>
    </w:p>
    <w:p w14:paraId="129664B3"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w:t>
      </w:r>
      <w:r w:rsidRPr="00487553">
        <w:rPr>
          <w:rFonts w:asciiTheme="minorEastAsia" w:eastAsiaTheme="minorEastAsia" w:hAnsiTheme="minorEastAsia"/>
          <w:kern w:val="0"/>
          <w:szCs w:val="21"/>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EA1D410" w14:textId="45E7EE76"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Pr="00487553">
        <w:rPr>
          <w:rFonts w:asciiTheme="minorEastAsia" w:eastAsiaTheme="minorEastAsia" w:hAnsiTheme="minorEastAsia"/>
          <w:kern w:val="0"/>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15123A9" w14:textId="77777777" w:rsidR="00363389" w:rsidRPr="00487553" w:rsidRDefault="00363389"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cs="宋体" w:hint="eastAsia"/>
          <w:kern w:val="0"/>
          <w:szCs w:val="21"/>
        </w:rPr>
        <w:t>（4）</w:t>
      </w:r>
      <w:r w:rsidRPr="00487553">
        <w:rPr>
          <w:rFonts w:asciiTheme="minorEastAsia" w:eastAsiaTheme="minorEastAsia" w:hAnsiTheme="minorEastAsia" w:cs="宋体"/>
          <w:kern w:val="0"/>
          <w:szCs w:val="21"/>
        </w:rPr>
        <w:t>基金投资</w:t>
      </w:r>
      <w:r w:rsidRPr="00487553">
        <w:rPr>
          <w:rFonts w:asciiTheme="minorEastAsia" w:eastAsiaTheme="minorEastAsia" w:hAnsiTheme="minorEastAsia" w:cs="宋体" w:hint="eastAsia"/>
          <w:kern w:val="0"/>
          <w:szCs w:val="21"/>
        </w:rPr>
        <w:t>非公开发行</w:t>
      </w:r>
      <w:r w:rsidRPr="00487553">
        <w:rPr>
          <w:rFonts w:asciiTheme="minorEastAsia" w:eastAsiaTheme="minorEastAsia" w:hAnsiTheme="minorEastAsia" w:cs="宋体"/>
          <w:kern w:val="0"/>
          <w:szCs w:val="21"/>
        </w:rPr>
        <w:t>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w:t>
      </w:r>
      <w:r w:rsidRPr="00487553">
        <w:rPr>
          <w:rFonts w:asciiTheme="minorEastAsia" w:eastAsiaTheme="minorEastAsia" w:hAnsiTheme="minorEastAsia" w:cs="宋体" w:hint="eastAsia"/>
          <w:kern w:val="0"/>
          <w:szCs w:val="21"/>
        </w:rPr>
        <w:t>一</w:t>
      </w:r>
      <w:r w:rsidRPr="00487553">
        <w:rPr>
          <w:rFonts w:asciiTheme="minorEastAsia" w:eastAsiaTheme="minorEastAsia" w:hAnsiTheme="minorEastAsia" w:cs="宋体"/>
          <w:kern w:val="0"/>
          <w:szCs w:val="21"/>
        </w:rPr>
        <w:t>个工作日将上述信息书面发至基金托管人,保证基金托管人有足够的时间进行审核</w:t>
      </w:r>
      <w:r w:rsidRPr="00487553">
        <w:rPr>
          <w:rFonts w:asciiTheme="minorEastAsia" w:eastAsiaTheme="minorEastAsia" w:hAnsiTheme="minorEastAsia" w:cs="宋体" w:hint="eastAsia"/>
          <w:kern w:val="0"/>
          <w:szCs w:val="21"/>
        </w:rPr>
        <w:t>。</w:t>
      </w:r>
    </w:p>
    <w:p w14:paraId="70D1C68F" w14:textId="77777777" w:rsidR="00363389" w:rsidRPr="00487553" w:rsidRDefault="00363389"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cs="宋体" w:hint="eastAsia"/>
          <w:kern w:val="0"/>
          <w:szCs w:val="21"/>
        </w:rPr>
        <w:t>（5）</w:t>
      </w:r>
      <w:r w:rsidRPr="00487553">
        <w:rPr>
          <w:rFonts w:asciiTheme="minorEastAsia" w:eastAsiaTheme="minorEastAsia" w:hAnsiTheme="minorEastAsia" w:cs="宋体"/>
          <w:kern w:val="0"/>
          <w:szCs w:val="21"/>
        </w:rPr>
        <w:t>基金托管人应对基金管理人提供的有关书面信息</w:t>
      </w:r>
      <w:r w:rsidRPr="00487553">
        <w:rPr>
          <w:rFonts w:asciiTheme="minorEastAsia" w:eastAsiaTheme="minorEastAsia" w:hAnsiTheme="minorEastAsia" w:cs="宋体" w:hint="eastAsia"/>
          <w:kern w:val="0"/>
          <w:szCs w:val="21"/>
        </w:rPr>
        <w:t>进行审核，</w:t>
      </w:r>
      <w:r w:rsidRPr="00487553">
        <w:rPr>
          <w:rFonts w:asciiTheme="minorEastAsia" w:eastAsiaTheme="minorEastAsia" w:hAnsiTheme="minorEastAsia" w:cs="宋体"/>
          <w:kern w:val="0"/>
          <w:szCs w:val="21"/>
        </w:rPr>
        <w:t>基金托管人认为上述资料可能导致基金</w:t>
      </w:r>
      <w:r w:rsidRPr="00487553">
        <w:rPr>
          <w:rFonts w:asciiTheme="minorEastAsia" w:eastAsiaTheme="minorEastAsia" w:hAnsiTheme="minorEastAsia" w:cs="宋体" w:hint="eastAsia"/>
          <w:kern w:val="0"/>
          <w:szCs w:val="21"/>
        </w:rPr>
        <w:t>投资</w:t>
      </w:r>
      <w:r w:rsidRPr="00487553">
        <w:rPr>
          <w:rFonts w:asciiTheme="minorEastAsia" w:eastAsiaTheme="minorEastAsia" w:hAnsiTheme="minorEastAsia" w:cs="宋体"/>
          <w:kern w:val="0"/>
          <w:szCs w:val="21"/>
        </w:rPr>
        <w:t>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w:t>
      </w:r>
      <w:r w:rsidRPr="00487553">
        <w:rPr>
          <w:rFonts w:asciiTheme="minorEastAsia" w:eastAsiaTheme="minorEastAsia" w:hAnsiTheme="minorEastAsia" w:cs="宋体"/>
          <w:kern w:val="0"/>
          <w:szCs w:val="21"/>
        </w:rPr>
        <w:lastRenderedPageBreak/>
        <w:t>证监会。</w:t>
      </w:r>
    </w:p>
    <w:p w14:paraId="3ABB56AF"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cs="宋体"/>
          <w:kern w:val="0"/>
          <w:szCs w:val="21"/>
        </w:rPr>
        <w:t>如基金管理人和基金托管人无法达成一致,应及时上报中国证监会请求解决。如果基金托管人切实履行监督职责,则不承担任何责任。</w:t>
      </w:r>
    </w:p>
    <w:p w14:paraId="3FF93F6E" w14:textId="77777777" w:rsidR="00363389" w:rsidRPr="00487553" w:rsidRDefault="00363389" w:rsidP="00D94E68">
      <w:pPr>
        <w:tabs>
          <w:tab w:val="num" w:pos="1260"/>
        </w:tabs>
        <w:adjustRightInd w:val="0"/>
        <w:snapToGrid w:val="0"/>
        <w:spacing w:line="360" w:lineRule="auto"/>
        <w:ind w:firstLineChars="200" w:firstLine="420"/>
        <w:rPr>
          <w:rFonts w:asciiTheme="minorEastAsia" w:eastAsiaTheme="minorEastAsia" w:hAnsiTheme="minorEastAsia" w:cs="宋体"/>
          <w:kern w:val="0"/>
          <w:szCs w:val="21"/>
        </w:rPr>
      </w:pPr>
      <w:r w:rsidRPr="00487553">
        <w:rPr>
          <w:rFonts w:asciiTheme="minorEastAsia" w:eastAsiaTheme="minorEastAsia" w:hAnsiTheme="minorEastAsia" w:cs="宋体" w:hint="eastAsia"/>
          <w:kern w:val="0"/>
          <w:szCs w:val="21"/>
        </w:rPr>
        <w:t>9、基金管理人可对本基金的投资范围和投资限制进行更新，但任何更新均应符合最新之法律法规要求。基金管理人应及时将投资及其调整情况书面通知基金托管人，授权并给基金托管人及其及境外托管人进行投资合规性检查，核对资产状况，提供相关信息，并确保信息真实准确。</w:t>
      </w:r>
    </w:p>
    <w:p w14:paraId="58034037"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bookmarkStart w:id="1229" w:name="_Toc310513404"/>
      <w:bookmarkStart w:id="1230" w:name="_Toc323051083"/>
      <w:r w:rsidRPr="00487553">
        <w:rPr>
          <w:rFonts w:asciiTheme="minorEastAsia" w:eastAsiaTheme="minorEastAsia" w:hAnsiTheme="minorEastAsia" w:hint="eastAsia"/>
          <w:kern w:val="0"/>
          <w:szCs w:val="21"/>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bookmarkEnd w:id="1229"/>
      <w:bookmarkEnd w:id="1230"/>
    </w:p>
    <w:p w14:paraId="0FC37558" w14:textId="77777777" w:rsidR="00363389" w:rsidRPr="00487553" w:rsidRDefault="00363389" w:rsidP="00D94E68">
      <w:pPr>
        <w:snapToGrid w:val="0"/>
        <w:spacing w:line="360" w:lineRule="auto"/>
        <w:ind w:firstLineChars="200" w:firstLine="420"/>
        <w:rPr>
          <w:rFonts w:asciiTheme="minorEastAsia" w:eastAsiaTheme="minorEastAsia" w:hAnsiTheme="minorEastAsia"/>
          <w:kern w:val="0"/>
          <w:szCs w:val="21"/>
        </w:rPr>
      </w:pPr>
      <w:bookmarkStart w:id="1231" w:name="_Toc310513405"/>
      <w:bookmarkStart w:id="1232" w:name="_Toc323051084"/>
      <w:r w:rsidRPr="00487553">
        <w:rPr>
          <w:rFonts w:asciiTheme="minorEastAsia" w:eastAsiaTheme="minorEastAsia" w:hAnsiTheme="minorEastAsia" w:hint="eastAsia"/>
          <w:kern w:val="0"/>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bookmarkEnd w:id="1231"/>
      <w:bookmarkEnd w:id="1232"/>
    </w:p>
    <w:p w14:paraId="58797201"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基金托管人发现基金管理人的投资指令或实际投资运作违反《基金法》及其他有关法规、《基金合同》和本协议规定的行为，应及时以书面或双方约定的其他方式通知基金管理人</w:t>
      </w:r>
      <w:r w:rsidR="006D5FEC" w:rsidRPr="00487553">
        <w:rPr>
          <w:rFonts w:asciiTheme="minorEastAsia" w:eastAsiaTheme="minorEastAsia" w:hAnsiTheme="minorEastAsia" w:hint="eastAsia"/>
          <w:kern w:val="0"/>
          <w:szCs w:val="21"/>
        </w:rPr>
        <w:t>在30个工作日内</w:t>
      </w:r>
      <w:r w:rsidRPr="00487553">
        <w:rPr>
          <w:rFonts w:asciiTheme="minorEastAsia" w:eastAsiaTheme="minorEastAsia" w:hAnsiTheme="minorEastAsia" w:hint="eastAsia"/>
          <w:kern w:val="0"/>
          <w:szCs w:val="21"/>
        </w:rPr>
        <w:t>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461783AE"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基金托管人发现基金管理人有重大违规行为，应立即报告中国证监会，同时通知基金管理人在限期内纠正。</w:t>
      </w:r>
    </w:p>
    <w:p w14:paraId="0F237298" w14:textId="77777777" w:rsidR="00363389" w:rsidRPr="00487553" w:rsidRDefault="0036338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认可，基金托管人及其境外托管人投资监督的准确性和完整性受限于基金管理人，证券经纪商及其他中介机构提供的数据和信息，合规投资的最终责任在基金管理人，基金托管人及其境外托管人对这些机构的信息的准确性和完整性不做任何担保、暗示或表示，并对上述机构提供的信息的真实性、准确性和完整性所引起的损失不承担任何责任。</w:t>
      </w:r>
    </w:p>
    <w:p w14:paraId="5DEFF687" w14:textId="77777777" w:rsidR="0052794A" w:rsidRPr="00487553" w:rsidRDefault="00363389"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基金托管人无投资责任，对任何基金管理人的投资行为（包括但不限于其投资策略及决定）或其投资回报不承担任何责任。基金托管人不会因为提供投资监督报告而承担任何因基金管理人违规投资所产生的有关责任，也没有义务去采取任何手段回应任何与投资监督报告有关的信息和报道。但如果收到基金管理人的书面指示，基金托管人将对投资监督报告所述的违规行为提供有关资料。</w:t>
      </w:r>
    </w:p>
    <w:p w14:paraId="59D1738E"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rPr>
      </w:pPr>
      <w:r w:rsidRPr="00487553">
        <w:rPr>
          <w:rFonts w:asciiTheme="minorEastAsia" w:eastAsiaTheme="minorEastAsia" w:hAnsiTheme="minorEastAsia"/>
          <w:b/>
        </w:rPr>
        <w:t>基金管理人对基金托管人的业务核查</w:t>
      </w:r>
    </w:p>
    <w:p w14:paraId="534AF89C" w14:textId="77777777" w:rsidR="00380559" w:rsidRPr="00487553" w:rsidRDefault="0038055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14:paraId="7E305355" w14:textId="77777777" w:rsidR="00380559" w:rsidRPr="00487553" w:rsidRDefault="0038055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基金托管人应积极配合基金管理人的核查行为，包括但不限于：提交相关资料以供基金管理人核查托管财产的完整性和真实性，在规定时间内答复并改正。</w:t>
      </w:r>
    </w:p>
    <w:p w14:paraId="1EF9DBD7" w14:textId="77777777" w:rsidR="00380559" w:rsidRPr="00487553" w:rsidRDefault="00380559"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基金托管人收到通知后应及时核对并以书面形式对基金管理人发出回函。在限期内，如无异议，应在基金管理人给定的合理期限内改进，如有异议，应作出书面解释。基金管理人有权随时对通知事项进行复查，督促基金托管人改正，并予以协助配合。基金托管人对基金管理人通知的违规事项未能在限期内纠正的，基金管理人应报告中国证监会。</w:t>
      </w:r>
      <w:r w:rsidRPr="00487553">
        <w:rPr>
          <w:rFonts w:asciiTheme="minorEastAsia" w:eastAsiaTheme="minorEastAsia" w:hAnsiTheme="minorEastAsia" w:hint="eastAsia"/>
          <w:szCs w:val="21"/>
        </w:rPr>
        <w:t>对基金管理人按照法规要求需向中国证监会报送基金监督报告的，基金托管人应积极配合提供相关数据资料和制度等。</w:t>
      </w:r>
    </w:p>
    <w:p w14:paraId="72739999" w14:textId="77777777" w:rsidR="0052794A" w:rsidRPr="00487553" w:rsidRDefault="00380559" w:rsidP="00D94E68">
      <w:pPr>
        <w:tabs>
          <w:tab w:val="num" w:pos="1260"/>
        </w:tabs>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基金管理人发现基金托管人有重大违规行为，应立即报告中国证监会，同时通知基金托管人在限期内纠正。基金管理人应尽最大努力保证其对基金托管人的业务核查不影响基金托管人的正常经营活动。</w:t>
      </w:r>
    </w:p>
    <w:p w14:paraId="57D88242"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rPr>
      </w:pPr>
      <w:r w:rsidRPr="00487553">
        <w:rPr>
          <w:rFonts w:asciiTheme="minorEastAsia" w:eastAsiaTheme="minorEastAsia" w:hAnsiTheme="minorEastAsia"/>
          <w:b/>
        </w:rPr>
        <w:t>基金财产的保管</w:t>
      </w:r>
    </w:p>
    <w:p w14:paraId="280A0B99"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33" w:name="_Toc310513406"/>
      <w:bookmarkStart w:id="1234" w:name="_Toc323051085"/>
      <w:r w:rsidRPr="00487553">
        <w:rPr>
          <w:rFonts w:asciiTheme="minorEastAsia" w:eastAsiaTheme="minorEastAsia" w:hAnsiTheme="minorEastAsia" w:hint="eastAsia"/>
          <w:kern w:val="0"/>
          <w:szCs w:val="21"/>
        </w:rPr>
        <w:t>（一）基金财产保管的原则</w:t>
      </w:r>
      <w:bookmarkEnd w:id="1233"/>
      <w:bookmarkEnd w:id="1234"/>
    </w:p>
    <w:p w14:paraId="246BBC75"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基金财产应独立于基金管理人、基金托管人的固有财产。</w:t>
      </w:r>
    </w:p>
    <w:p w14:paraId="5429A01B"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基金托管人应安全保管基金财产，未经基金管理人的合法合规指令或法律法规、基金合同及本托管协议另有规定，不得自行运用、处分、分配基金的任何财产。</w:t>
      </w:r>
    </w:p>
    <w:p w14:paraId="5BF01036"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3</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基金托管人应按照规定开立或变更基金财产的资金账户和证券账户。</w:t>
      </w:r>
    </w:p>
    <w:p w14:paraId="23AAD0BE" w14:textId="77777777" w:rsidR="00B532ED"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00B532ED" w:rsidRPr="00487553">
        <w:rPr>
          <w:rFonts w:asciiTheme="minorEastAsia" w:eastAsiaTheme="minorEastAsia" w:hAnsiTheme="minorEastAsia"/>
          <w:kern w:val="0"/>
          <w:szCs w:val="21"/>
        </w:rPr>
        <w:t>4</w:t>
      </w:r>
      <w:r w:rsidR="00B532ED" w:rsidRPr="00487553">
        <w:rPr>
          <w:rFonts w:asciiTheme="minorEastAsia" w:eastAsiaTheme="minorEastAsia" w:hAnsiTheme="minorEastAsia" w:hint="eastAsia"/>
          <w:kern w:val="0"/>
          <w:szCs w:val="21"/>
        </w:rPr>
        <w:t>）基金托管人对所托管的不同基金财产分别设置账户，确保基金财产的完整与独立</w:t>
      </w:r>
      <w:r w:rsidR="00B532ED" w:rsidRPr="00487553">
        <w:rPr>
          <w:rFonts w:asciiTheme="minorEastAsia" w:eastAsiaTheme="minorEastAsia" w:hAnsiTheme="minorEastAsia"/>
          <w:kern w:val="0"/>
          <w:szCs w:val="21"/>
        </w:rPr>
        <w:t>。</w:t>
      </w:r>
    </w:p>
    <w:p w14:paraId="6B16DCCA"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5</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基金托管人根据基金管理人或境外投资顾问</w:t>
      </w:r>
      <w:r w:rsidR="00AC785D" w:rsidRPr="00487553">
        <w:rPr>
          <w:rFonts w:asciiTheme="minorEastAsia" w:eastAsiaTheme="minorEastAsia" w:hAnsiTheme="minorEastAsia"/>
          <w:kern w:val="0"/>
          <w:szCs w:val="21"/>
        </w:rPr>
        <w:t>（</w:t>
      </w:r>
      <w:r w:rsidRPr="00487553">
        <w:rPr>
          <w:rFonts w:asciiTheme="minorEastAsia" w:eastAsiaTheme="minorEastAsia" w:hAnsiTheme="minorEastAsia"/>
          <w:kern w:val="0"/>
          <w:szCs w:val="21"/>
        </w:rPr>
        <w:t>根据基金管理人的通知</w:t>
      </w:r>
      <w:r w:rsidR="00AC785D" w:rsidRPr="00487553">
        <w:rPr>
          <w:rFonts w:asciiTheme="minorEastAsia" w:eastAsiaTheme="minorEastAsia" w:hAnsiTheme="minorEastAsia"/>
          <w:kern w:val="0"/>
          <w:szCs w:val="21"/>
        </w:rPr>
        <w:t>）</w:t>
      </w:r>
      <w:r w:rsidRPr="00487553">
        <w:rPr>
          <w:rFonts w:asciiTheme="minorEastAsia" w:eastAsiaTheme="minorEastAsia" w:hAnsiTheme="minorEastAsia"/>
          <w:kern w:val="0"/>
          <w:szCs w:val="21"/>
        </w:rPr>
        <w:t>的指令，按照基金合同和本协议的约定保管基金财产，如有特殊情况基金管理人和基金托管人可另行协商解决。</w:t>
      </w:r>
    </w:p>
    <w:p w14:paraId="6721346E"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6</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除非依据有关法律法规规定和本协议约定外，基金托管人及其境外托管人不得利用基金财产为自己或第三方谋取利益，违反此义务所得收益归于基金财产，由此造成直接损失由基金托管人承担</w:t>
      </w:r>
      <w:r w:rsidRPr="00487553">
        <w:rPr>
          <w:rFonts w:asciiTheme="minorEastAsia" w:eastAsiaTheme="minorEastAsia" w:hAnsiTheme="minorEastAsia" w:hint="eastAsia"/>
          <w:kern w:val="0"/>
          <w:szCs w:val="21"/>
        </w:rPr>
        <w:t>;</w:t>
      </w:r>
    </w:p>
    <w:p w14:paraId="7FE55452"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7</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除非根据基金管理人书面同意，基金托管人不得在任何托管资产上设立任何担保权利，包括但不限于抵押、质押、留置等</w:t>
      </w:r>
      <w:r w:rsidRPr="00487553">
        <w:rPr>
          <w:rFonts w:asciiTheme="minorEastAsia" w:eastAsiaTheme="minorEastAsia" w:hAnsiTheme="minorEastAsia" w:hint="eastAsia"/>
          <w:kern w:val="0"/>
          <w:szCs w:val="21"/>
        </w:rPr>
        <w:t>，但根据有关适用法律的规定或本合同的规定而</w:t>
      </w:r>
      <w:r w:rsidRPr="00487553">
        <w:rPr>
          <w:rFonts w:asciiTheme="minorEastAsia" w:eastAsiaTheme="minorEastAsia" w:hAnsiTheme="minorEastAsia" w:hint="eastAsia"/>
          <w:kern w:val="0"/>
          <w:szCs w:val="21"/>
        </w:rPr>
        <w:lastRenderedPageBreak/>
        <w:t>产生的担保权利除外。</w:t>
      </w:r>
    </w:p>
    <w:p w14:paraId="1BE0D15E"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8</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对于因为基金管理人进行本协议项下基金投资交易产生的应收资产</w:t>
      </w:r>
      <w:r w:rsidRPr="00487553">
        <w:rPr>
          <w:rFonts w:asciiTheme="minorEastAsia" w:eastAsiaTheme="minorEastAsia" w:hAnsiTheme="minorEastAsia" w:hint="eastAsia"/>
          <w:kern w:val="0"/>
          <w:szCs w:val="21"/>
        </w:rPr>
        <w:t>，如基金托管人无法从公开信息或基金管理人提供的书面资料中获取到账日期信息的，</w:t>
      </w:r>
      <w:r w:rsidRPr="00487553">
        <w:rPr>
          <w:rFonts w:asciiTheme="minorEastAsia" w:eastAsiaTheme="minorEastAsia" w:hAnsiTheme="minorEastAsia"/>
          <w:kern w:val="0"/>
          <w:szCs w:val="21"/>
        </w:rPr>
        <w:t>应由基金管理人负责与有关当事人确定到账日期并通知基金托管人。如因基金持有的资产所产生的应收资产，并由基金托管人作为资产持有人，基金托管人应负责与有关当事人确定到账日期并通知基金管理人。到账日基金财产没有到达基金账户的，基金托管人应及时通知基金管理人采取措施进行催收。</w:t>
      </w:r>
    </w:p>
    <w:p w14:paraId="1ACCB521"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35" w:name="_Toc310513407"/>
      <w:bookmarkStart w:id="1236" w:name="_Toc323051086"/>
      <w:r w:rsidRPr="00487553">
        <w:rPr>
          <w:rFonts w:asciiTheme="minorEastAsia" w:eastAsiaTheme="minorEastAsia" w:hAnsiTheme="minorEastAsia" w:hint="eastAsia"/>
          <w:kern w:val="0"/>
          <w:szCs w:val="21"/>
        </w:rPr>
        <w:t>（二）基金合同生效时募集资产的验证</w:t>
      </w:r>
      <w:bookmarkEnd w:id="1235"/>
      <w:bookmarkEnd w:id="1236"/>
    </w:p>
    <w:p w14:paraId="3A4D6C62"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基金募集期满</w:t>
      </w:r>
      <w:r w:rsidRPr="00487553">
        <w:rPr>
          <w:rFonts w:asciiTheme="minorEastAsia" w:eastAsiaTheme="minorEastAsia" w:hAnsiTheme="minorEastAsia"/>
          <w:kern w:val="0"/>
          <w:szCs w:val="21"/>
        </w:rPr>
        <w:t>之日</w:t>
      </w:r>
      <w:r w:rsidRPr="00487553">
        <w:rPr>
          <w:rFonts w:asciiTheme="minorEastAsia" w:eastAsiaTheme="minorEastAsia" w:hAnsiTheme="minorEastAsia" w:hint="eastAsia"/>
          <w:kern w:val="0"/>
          <w:szCs w:val="21"/>
        </w:rPr>
        <w:t>或停止基金发售之日</w:t>
      </w:r>
      <w:r w:rsidRPr="00487553">
        <w:rPr>
          <w:rFonts w:asciiTheme="minorEastAsia" w:eastAsiaTheme="minorEastAsia" w:hAnsiTheme="minorEastAsia"/>
          <w:kern w:val="0"/>
          <w:szCs w:val="21"/>
        </w:rPr>
        <w:t>起</w:t>
      </w:r>
      <w:r w:rsidRPr="00487553">
        <w:rPr>
          <w:rFonts w:asciiTheme="minorEastAsia" w:eastAsiaTheme="minorEastAsia" w:hAnsiTheme="minorEastAsia" w:hint="eastAsia"/>
          <w:kern w:val="0"/>
          <w:szCs w:val="21"/>
        </w:rPr>
        <w:t>10</w:t>
      </w:r>
      <w:r w:rsidRPr="00487553">
        <w:rPr>
          <w:rFonts w:asciiTheme="minorEastAsia" w:eastAsiaTheme="minorEastAsia" w:hAnsiTheme="minorEastAsia"/>
          <w:kern w:val="0"/>
          <w:szCs w:val="21"/>
        </w:rPr>
        <w:t>日内</w:t>
      </w:r>
      <w:r w:rsidRPr="00487553">
        <w:rPr>
          <w:rFonts w:asciiTheme="minorEastAsia" w:eastAsiaTheme="minorEastAsia" w:hAnsiTheme="minorEastAsia" w:hint="eastAsia"/>
          <w:kern w:val="0"/>
          <w:szCs w:val="21"/>
        </w:rPr>
        <w:t>，募集的基金份额总额、基金募集金额、基金份额持有人人数符合《基金法》、《运作办法》等有关规定后，由基金管理人聘请具有从事证券相关业务资格的会计师事务所进行验资，出具验资报告，出具的验资报告应由参加验资的</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名以上（含</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名）中国注册会计师签字有效。验资完成，基金管理人应将募集到的全部资金存入基金托管人为基金开立的基金银行存款账户中，基金托管人在收到资金当日出具相关证明文件。</w:t>
      </w:r>
    </w:p>
    <w:p w14:paraId="4743CAAF"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37" w:name="_Toc310513408"/>
      <w:bookmarkStart w:id="1238" w:name="_Toc323051087"/>
      <w:r w:rsidRPr="00487553">
        <w:rPr>
          <w:rFonts w:asciiTheme="minorEastAsia" w:eastAsiaTheme="minorEastAsia" w:hAnsiTheme="minorEastAsia" w:hint="eastAsia"/>
          <w:kern w:val="0"/>
          <w:szCs w:val="21"/>
        </w:rPr>
        <w:t>（三）基金的银行存款账户的开立和管理</w:t>
      </w:r>
      <w:bookmarkEnd w:id="1237"/>
      <w:bookmarkEnd w:id="1238"/>
    </w:p>
    <w:p w14:paraId="0EC388AC" w14:textId="6DB3FC75"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（1）基金托管人应负责本基金银行存款账户的开立和管理。本基金根据相关法律法规、规范性文件在境内开立人民币资金账户和外币资金账户，在境外开立外币资金账户，并确保基金为现金的实益所有人（</w:t>
      </w:r>
      <w:r w:rsidRPr="00487553">
        <w:rPr>
          <w:rFonts w:asciiTheme="minorEastAsia" w:eastAsiaTheme="minorEastAsia" w:hAnsiTheme="minorEastAsia"/>
          <w:kern w:val="0"/>
          <w:szCs w:val="21"/>
        </w:rPr>
        <w:t>beneficialowner</w:t>
      </w:r>
      <w:r w:rsidRPr="00487553">
        <w:rPr>
          <w:rFonts w:asciiTheme="minorEastAsia" w:eastAsiaTheme="minorEastAsia" w:hAnsiTheme="minorEastAsia" w:hint="eastAsia"/>
          <w:kern w:val="0"/>
          <w:szCs w:val="21"/>
        </w:rPr>
        <w:t>）。</w:t>
      </w:r>
    </w:p>
    <w:p w14:paraId="7E5EF3F0"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（2）基金托管人以本基金的名义在其营业机构开立基金的银行存款账户，并</w:t>
      </w:r>
      <w:r w:rsidR="00BB1A36" w:rsidRPr="00487553">
        <w:rPr>
          <w:rFonts w:asciiTheme="minorEastAsia" w:eastAsiaTheme="minorEastAsia" w:hAnsiTheme="minorEastAsia" w:hint="eastAsia"/>
          <w:kern w:val="0"/>
          <w:szCs w:val="21"/>
        </w:rPr>
        <w:t>对境内账户</w:t>
      </w:r>
      <w:r w:rsidRPr="00487553">
        <w:rPr>
          <w:rFonts w:asciiTheme="minorEastAsia" w:eastAsiaTheme="minorEastAsia" w:hAnsiTheme="minorEastAsia" w:hint="eastAsia"/>
          <w:kern w:val="0"/>
          <w:szCs w:val="21"/>
        </w:rPr>
        <w:t>根据中国人民银行规定计息。本基金的银行预留印鉴由基金托管人制作、保管和使用。本基金的一切货币收支活动，包括但不限于投资、支付赎回金额、支付基金收益，均需通过本基金的银行存款账户进行。</w:t>
      </w:r>
    </w:p>
    <w:p w14:paraId="1BC14D01"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61B3DAEE"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（4）基金托管人可以通过申请开通本基金银行账户的企业网上银行业务进行资金支付，并使用交通银行企业网上银行（简称“交通银行网银”）办理托管资产的资金结算汇划业务。</w:t>
      </w:r>
    </w:p>
    <w:p w14:paraId="4BE2C5CF"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009050EC" w:rsidRPr="00487553">
        <w:rPr>
          <w:rFonts w:asciiTheme="minorEastAsia" w:eastAsiaTheme="minorEastAsia" w:hAnsiTheme="minorEastAsia" w:hint="eastAsia"/>
          <w:kern w:val="0"/>
          <w:szCs w:val="21"/>
        </w:rPr>
        <w:t>对于开设在境内及境外的</w:t>
      </w:r>
      <w:r w:rsidRPr="00487553">
        <w:rPr>
          <w:rFonts w:asciiTheme="minorEastAsia" w:eastAsiaTheme="minorEastAsia" w:hAnsiTheme="minorEastAsia" w:hint="eastAsia"/>
          <w:kern w:val="0"/>
          <w:szCs w:val="21"/>
        </w:rPr>
        <w:t>基金银行存款账户的管理应符合账户所在国或地区监管机构的有关规定。</w:t>
      </w:r>
    </w:p>
    <w:p w14:paraId="55CB7EDF"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39" w:name="_Toc310513409"/>
      <w:bookmarkStart w:id="1240" w:name="_Toc323051088"/>
      <w:r w:rsidRPr="00487553">
        <w:rPr>
          <w:rFonts w:asciiTheme="minorEastAsia" w:eastAsiaTheme="minorEastAsia" w:hAnsiTheme="minorEastAsia" w:hint="eastAsia"/>
          <w:kern w:val="0"/>
          <w:szCs w:val="21"/>
        </w:rPr>
        <w:t>（四）基金证券交收账户、资金交收账户的开立和管理</w:t>
      </w:r>
      <w:bookmarkEnd w:id="1239"/>
      <w:bookmarkEnd w:id="1240"/>
    </w:p>
    <w:p w14:paraId="7ACF27B2"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w:t>
      </w:r>
      <w:r w:rsidRPr="00487553">
        <w:rPr>
          <w:rFonts w:asciiTheme="minorEastAsia" w:eastAsiaTheme="minorEastAsia" w:hAnsiTheme="minorEastAsia"/>
          <w:kern w:val="0"/>
          <w:szCs w:val="21"/>
        </w:rPr>
        <w:t>基金托管人在基金所投资市场或证券交易所或登记结算机构，按照该交易所或登记结算机构的业务规则为基金开立基金托管人或其境外托管人名义或基金托管人与基金联名的证券账户。由基金托管人或其境外托管人负责办理与开立证券账户有关的手续。</w:t>
      </w:r>
    </w:p>
    <w:p w14:paraId="7832CD13"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lastRenderedPageBreak/>
        <w:t>（</w:t>
      </w:r>
      <w:r w:rsidRPr="00487553">
        <w:rPr>
          <w:rFonts w:asciiTheme="minorEastAsia" w:eastAsiaTheme="minorEastAsia" w:hAnsiTheme="minorEastAsia"/>
          <w:kern w:val="0"/>
          <w:szCs w:val="21"/>
        </w:rPr>
        <w:t>2</w:t>
      </w:r>
      <w:r w:rsidRPr="00487553">
        <w:rPr>
          <w:rFonts w:asciiTheme="minorEastAsia" w:eastAsiaTheme="minorEastAsia" w:hAnsiTheme="minorEastAsia" w:hint="eastAsia"/>
          <w:kern w:val="0"/>
          <w:szCs w:val="21"/>
        </w:rPr>
        <w:t>）</w:t>
      </w:r>
      <w:r w:rsidRPr="00487553">
        <w:rPr>
          <w:rFonts w:asciiTheme="minorEastAsia" w:eastAsiaTheme="minorEastAsia" w:hAnsiTheme="minorEastAsia"/>
          <w:kern w:val="0"/>
          <w:szCs w:val="21"/>
        </w:rPr>
        <w:t>基金证券账户的开立和使用，仅限于满足开展基金业务的需要。基金托管人和基金管理人以及各自境外托管人均不得出借或未经基金管理人、基金托管人同意擅自转让基金的任何证券账户，亦不得使用基金的任何账户进行基金业务以外的活动。</w:t>
      </w:r>
    </w:p>
    <w:p w14:paraId="4FF24404"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w:t>
      </w:r>
      <w:r w:rsidRPr="00487553">
        <w:rPr>
          <w:rFonts w:asciiTheme="minorEastAsia" w:eastAsiaTheme="minorEastAsia" w:hAnsiTheme="minorEastAsia"/>
          <w:kern w:val="0"/>
          <w:szCs w:val="21"/>
        </w:rPr>
        <w:t>基金证券账户的开立和证券账户相关证明文件的保管由基金托管人负责，账户资产的管理和运用由基金管理人负责。</w:t>
      </w:r>
    </w:p>
    <w:p w14:paraId="1C283FDF"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（4）</w:t>
      </w:r>
      <w:r w:rsidRPr="00487553">
        <w:rPr>
          <w:rFonts w:asciiTheme="minorEastAsia" w:eastAsiaTheme="minorEastAsia" w:hAnsiTheme="minorEastAsia"/>
          <w:kern w:val="0"/>
          <w:szCs w:val="21"/>
        </w:rPr>
        <w:t>基金管理人投资于符合法律法规、符合基金合同的其他非交易所市场的投资品种时，在基金合同生效后，基金托管人</w:t>
      </w:r>
      <w:r w:rsidRPr="00487553">
        <w:rPr>
          <w:rFonts w:asciiTheme="minorEastAsia" w:eastAsiaTheme="minorEastAsia" w:hAnsiTheme="minorEastAsia" w:hint="eastAsia"/>
          <w:kern w:val="0"/>
          <w:szCs w:val="21"/>
        </w:rPr>
        <w:t>或其境外托管人</w:t>
      </w:r>
      <w:r w:rsidRPr="00487553">
        <w:rPr>
          <w:rFonts w:asciiTheme="minorEastAsia" w:eastAsiaTheme="minorEastAsia" w:hAnsiTheme="minorEastAsia"/>
          <w:kern w:val="0"/>
          <w:szCs w:val="21"/>
        </w:rPr>
        <w:t>根据投资所在市场以及国家或地区的相关规定，开立进行基金的投资活动所需要的各类证券和结算账户。</w:t>
      </w:r>
    </w:p>
    <w:p w14:paraId="4F270F80"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（5）</w:t>
      </w:r>
      <w:r w:rsidRPr="00487553">
        <w:rPr>
          <w:rFonts w:asciiTheme="minorEastAsia" w:eastAsiaTheme="minorEastAsia" w:hAnsiTheme="minorEastAsia"/>
          <w:kern w:val="0"/>
          <w:szCs w:val="21"/>
        </w:rPr>
        <w:t>基金证券账户的开立和管理应符合账户所在国家或地区有关法律的规定。</w:t>
      </w:r>
    </w:p>
    <w:p w14:paraId="288A71E6"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6）基金托管人可以基金、基金托管人或其境外托管人的名义在其营业机构或其境外托管人开立基金的资金账户，并根据基金管理人合法合规的指令办理资金收付。基金的银行预留印鉴由基金托管人或其境外托管人保管和使用。</w:t>
      </w:r>
    </w:p>
    <w:p w14:paraId="62405A92"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bCs/>
          <w:szCs w:val="21"/>
        </w:rPr>
        <w:t>（五）</w:t>
      </w:r>
      <w:r w:rsidRPr="00487553">
        <w:rPr>
          <w:rFonts w:asciiTheme="minorEastAsia" w:eastAsiaTheme="minorEastAsia" w:hAnsiTheme="minorEastAsia" w:hint="eastAsia"/>
          <w:kern w:val="0"/>
          <w:szCs w:val="21"/>
        </w:rPr>
        <w:t>其他账户的开立和管理</w:t>
      </w:r>
    </w:p>
    <w:p w14:paraId="59DF80F5"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因业务需要而开立的其他账户，可以根据</w:t>
      </w:r>
      <w:r w:rsidR="00597480" w:rsidRPr="00487553">
        <w:rPr>
          <w:rFonts w:asciiTheme="minorEastAsia" w:eastAsiaTheme="minorEastAsia" w:hAnsiTheme="minorEastAsia" w:hint="eastAsia"/>
          <w:szCs w:val="21"/>
        </w:rPr>
        <w:t>投资地所在国家或地区</w:t>
      </w:r>
      <w:r w:rsidRPr="00487553">
        <w:rPr>
          <w:rFonts w:asciiTheme="minorEastAsia" w:eastAsiaTheme="minorEastAsia" w:hAnsiTheme="minorEastAsia" w:hint="eastAsia"/>
          <w:szCs w:val="21"/>
        </w:rPr>
        <w:t>法律法规和基金合同的规定，由基金托管人或境外资产托管人负责开立。基金管理人应提供必要协助。</w:t>
      </w:r>
    </w:p>
    <w:p w14:paraId="6E6322C0" w14:textId="77777777" w:rsidR="00B532ED" w:rsidRPr="00487553" w:rsidRDefault="00597480"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投资地所在国家或地区</w:t>
      </w:r>
      <w:r w:rsidR="00B532ED" w:rsidRPr="00487553">
        <w:rPr>
          <w:rFonts w:asciiTheme="minorEastAsia" w:eastAsiaTheme="minorEastAsia" w:hAnsiTheme="minorEastAsia" w:hint="eastAsia"/>
          <w:szCs w:val="21"/>
        </w:rPr>
        <w:t>法律法规等有关规定对相关账户的开立和管理另有规定的，从其规定办理。</w:t>
      </w:r>
    </w:p>
    <w:p w14:paraId="6C39013B"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bCs/>
          <w:szCs w:val="21"/>
        </w:rPr>
      </w:pPr>
      <w:r w:rsidRPr="00487553">
        <w:rPr>
          <w:rFonts w:asciiTheme="minorEastAsia" w:eastAsiaTheme="minorEastAsia" w:hAnsiTheme="minorEastAsia" w:hint="eastAsia"/>
          <w:bCs/>
          <w:szCs w:val="21"/>
        </w:rPr>
        <w:t>（六）证券登记</w:t>
      </w:r>
    </w:p>
    <w:p w14:paraId="61F11A69"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、境外证券的注册登记方式应符合投资当地市场的有关法律、法规或市场惯例；</w:t>
      </w:r>
    </w:p>
    <w:p w14:paraId="798F1039"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szCs w:val="21"/>
        </w:rPr>
        <w:t>2</w:t>
      </w:r>
      <w:r w:rsidRPr="00487553">
        <w:rPr>
          <w:rFonts w:asciiTheme="minorEastAsia" w:eastAsiaTheme="minorEastAsia" w:hAnsiTheme="minorEastAsia" w:hint="eastAsia"/>
          <w:szCs w:val="21"/>
        </w:rPr>
        <w:t>、基金托管人应该：</w:t>
      </w:r>
    </w:p>
    <w:p w14:paraId="006E51FF"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1</w:t>
      </w:r>
      <w:r w:rsidRPr="00487553">
        <w:rPr>
          <w:rFonts w:asciiTheme="minorEastAsia" w:eastAsiaTheme="minorEastAsia" w:hAnsiTheme="minorEastAsia" w:hint="eastAsia"/>
          <w:szCs w:val="21"/>
        </w:rPr>
        <w:t>）在其账目和记录中单独</w:t>
      </w:r>
      <w:r w:rsidRPr="00487553">
        <w:rPr>
          <w:rFonts w:asciiTheme="minorEastAsia" w:eastAsiaTheme="minorEastAsia" w:hAnsiTheme="minorEastAsia" w:hint="eastAsia"/>
          <w:bCs/>
          <w:szCs w:val="21"/>
        </w:rPr>
        <w:t>列记基金持有的证券</w:t>
      </w:r>
      <w:r w:rsidRPr="00487553">
        <w:rPr>
          <w:rFonts w:asciiTheme="minorEastAsia" w:eastAsiaTheme="minorEastAsia" w:hAnsiTheme="minorEastAsia" w:hint="eastAsia"/>
          <w:szCs w:val="21"/>
        </w:rPr>
        <w:t>；且，</w:t>
      </w:r>
    </w:p>
    <w:p w14:paraId="234C5DB5"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hint="eastAsia"/>
          <w:szCs w:val="21"/>
        </w:rPr>
        <w:t>（</w:t>
      </w:r>
      <w:r w:rsidRPr="00487553">
        <w:rPr>
          <w:rFonts w:asciiTheme="minorEastAsia" w:eastAsiaTheme="minorEastAsia" w:hAnsiTheme="minorEastAsia"/>
          <w:szCs w:val="21"/>
        </w:rPr>
        <w:t>2</w:t>
      </w:r>
      <w:r w:rsidRPr="00487553">
        <w:rPr>
          <w:rFonts w:asciiTheme="minorEastAsia" w:eastAsiaTheme="minorEastAsia" w:hAnsiTheme="minorEastAsia" w:hint="eastAsia"/>
          <w:szCs w:val="21"/>
        </w:rPr>
        <w:t>）要求和尽商业上的合理努力确保其境外托管人在其各自账目和记录中单独清楚列记这些证券不属于境外托管人资产，不论证券以何人的名义登记。而且，如果证券由基金托管人、境外托管人以无记名方式实际持有，其自身应当并应当要求和尽商业上的合理努力确保境外托管人将这些证券和基金托管人及其境外托管人自有的资产、任何其他人的资产分别独立存放。</w:t>
      </w:r>
    </w:p>
    <w:p w14:paraId="43B3B9D4" w14:textId="2CE8FB4F"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szCs w:val="21"/>
        </w:rPr>
        <w:t>3</w:t>
      </w:r>
      <w:r w:rsidRPr="00487553">
        <w:rPr>
          <w:rFonts w:asciiTheme="minorEastAsia" w:eastAsiaTheme="minorEastAsia" w:hAnsiTheme="minorEastAsia" w:hint="eastAsia"/>
          <w:szCs w:val="21"/>
        </w:rPr>
        <w:t>、存放在证券系统的证券应为基金实益持有人之利益持有，但须遵守管辖该系统运营的规则、条例和条件；</w:t>
      </w:r>
    </w:p>
    <w:p w14:paraId="60ECCD86"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szCs w:val="21"/>
        </w:rPr>
        <w:t>4</w:t>
      </w:r>
      <w:r w:rsidRPr="00487553">
        <w:rPr>
          <w:rFonts w:asciiTheme="minorEastAsia" w:eastAsiaTheme="minorEastAsia" w:hAnsiTheme="minorEastAsia" w:hint="eastAsia"/>
          <w:szCs w:val="21"/>
        </w:rPr>
        <w:t>、由基金托管人及其境外托管人为基金的利益而持有的证券（无记名证券和在证券系统持有的证券除外）应当按照本协议约定登记；</w:t>
      </w:r>
    </w:p>
    <w:p w14:paraId="77956531" w14:textId="77777777" w:rsidR="00B532ED" w:rsidRPr="00487553" w:rsidRDefault="00B532ED" w:rsidP="00D94E68">
      <w:pPr>
        <w:pStyle w:val="24"/>
        <w:snapToGrid w:val="0"/>
        <w:spacing w:after="0" w:line="360" w:lineRule="auto"/>
        <w:ind w:left="0" w:firstLineChars="200" w:firstLine="420"/>
        <w:rPr>
          <w:rFonts w:asciiTheme="minorEastAsia" w:eastAsiaTheme="minorEastAsia" w:hAnsiTheme="minorEastAsia"/>
          <w:szCs w:val="21"/>
        </w:rPr>
      </w:pPr>
      <w:r w:rsidRPr="00487553">
        <w:rPr>
          <w:rFonts w:asciiTheme="minorEastAsia" w:eastAsiaTheme="minorEastAsia" w:hAnsiTheme="minorEastAsia"/>
          <w:szCs w:val="21"/>
        </w:rPr>
        <w:t>5</w:t>
      </w:r>
      <w:r w:rsidRPr="00487553">
        <w:rPr>
          <w:rFonts w:asciiTheme="minorEastAsia" w:eastAsiaTheme="minorEastAsia" w:hAnsiTheme="minorEastAsia" w:hint="eastAsia"/>
          <w:szCs w:val="21"/>
        </w:rPr>
        <w:t>、基金托管人及其境外托管人应就其为基金的利益而持有证券的市场有关证券登记方式的重大变化通知基金管理人，并应基金管理人要求将这些市场与所持证券有关的发生的事件或管理变化通知基金管理人。若基金管理人要求改变协议约定的证券登记方式，基金托管人及其委托之境外托管人应就此予以充分配合。</w:t>
      </w:r>
    </w:p>
    <w:p w14:paraId="39580F00"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41" w:name="_Toc310513410"/>
      <w:bookmarkStart w:id="1242" w:name="_Toc323051089"/>
      <w:r w:rsidRPr="00487553">
        <w:rPr>
          <w:rFonts w:asciiTheme="minorEastAsia" w:eastAsiaTheme="minorEastAsia" w:hAnsiTheme="minorEastAsia" w:hint="eastAsia"/>
          <w:kern w:val="0"/>
          <w:szCs w:val="21"/>
        </w:rPr>
        <w:lastRenderedPageBreak/>
        <w:t>（七）基金财产投资的有关实物证券、银行存款定期存单等有价凭证的保管</w:t>
      </w:r>
      <w:bookmarkEnd w:id="1241"/>
      <w:bookmarkEnd w:id="1242"/>
    </w:p>
    <w:p w14:paraId="024432C5"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财产投资的有关实物证券由基金托管人存放于基金托管人或境外托管人处的保管库。实物证券的购买和转让，由基金托管人根据基金管理人的指令办理。属于基金托管人实际有效控制下的实物证券在基金托管人保管期间的损坏、灭失，由此产生的责任应由基金托管人承担。基金托管人对由基金托管人及其境外托管人以外机构实际有效控制的本基金资产不承担保管责任。</w:t>
      </w:r>
    </w:p>
    <w:p w14:paraId="0D5C52C9" w14:textId="77777777" w:rsidR="00B532ED" w:rsidRPr="00487553" w:rsidRDefault="00B532ED"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银行存款定期存单等有价凭证由基金托管人负责保管。</w:t>
      </w:r>
    </w:p>
    <w:p w14:paraId="29E0AABC" w14:textId="77777777" w:rsidR="00B532ED" w:rsidRPr="00487553" w:rsidRDefault="00B532ED" w:rsidP="00D94E68">
      <w:pPr>
        <w:snapToGrid w:val="0"/>
        <w:spacing w:line="360" w:lineRule="auto"/>
        <w:ind w:firstLineChars="200" w:firstLine="420"/>
        <w:rPr>
          <w:rFonts w:asciiTheme="minorEastAsia" w:eastAsiaTheme="minorEastAsia" w:hAnsiTheme="minorEastAsia"/>
          <w:kern w:val="0"/>
          <w:szCs w:val="21"/>
        </w:rPr>
      </w:pPr>
      <w:bookmarkStart w:id="1243" w:name="_Toc310513411"/>
      <w:bookmarkStart w:id="1244" w:name="_Toc323051090"/>
      <w:r w:rsidRPr="00487553">
        <w:rPr>
          <w:rFonts w:asciiTheme="minorEastAsia" w:eastAsiaTheme="minorEastAsia" w:hAnsiTheme="minorEastAsia" w:hint="eastAsia"/>
          <w:kern w:val="0"/>
          <w:szCs w:val="21"/>
        </w:rPr>
        <w:t>（八）与基金财产有关的重大合同的保管</w:t>
      </w:r>
      <w:bookmarkEnd w:id="1243"/>
      <w:bookmarkEnd w:id="1244"/>
    </w:p>
    <w:p w14:paraId="2B02C43E" w14:textId="77777777" w:rsidR="0052794A" w:rsidRPr="00487553" w:rsidRDefault="00B532ED" w:rsidP="00D94E68">
      <w:pPr>
        <w:snapToGrid w:val="0"/>
        <w:spacing w:line="360" w:lineRule="auto"/>
        <w:ind w:firstLineChars="200" w:firstLine="420"/>
        <w:rPr>
          <w:rFonts w:asciiTheme="minorEastAsia" w:eastAsiaTheme="minorEastAsia" w:hAnsiTheme="minorEastAsia"/>
          <w:szCs w:val="21"/>
        </w:rPr>
      </w:pPr>
      <w:r w:rsidRPr="00487553">
        <w:rPr>
          <w:rFonts w:asciiTheme="minorEastAsia" w:eastAsiaTheme="minorEastAsia" w:hAnsiTheme="minorEastAsia" w:hint="eastAsia"/>
          <w:kern w:val="0"/>
          <w:szCs w:val="21"/>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242F3F1D"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基金资产净值计算和会计核算</w:t>
      </w:r>
    </w:p>
    <w:p w14:paraId="4395050A"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（一）基金资产净值及基金份额净值的计算与复核</w:t>
      </w:r>
    </w:p>
    <w:p w14:paraId="46EF31BD"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基金资产净值是指基金资产总值减去负债后的价值。</w:t>
      </w:r>
      <w:r w:rsidR="005D6AD3" w:rsidRPr="00487553">
        <w:rPr>
          <w:rFonts w:asciiTheme="minorEastAsia" w:eastAsiaTheme="minorEastAsia" w:hAnsiTheme="minorEastAsia" w:hint="eastAsia"/>
          <w:szCs w:val="18"/>
        </w:rPr>
        <w:t>本基金各类基金份额将分别计算基金份额净值。</w:t>
      </w:r>
    </w:p>
    <w:p w14:paraId="61540915"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托管资产的会计责任主体为基金管理人。用于基金信息披露的基金资产净值和基金份额净值由基金管理人负责计算，基金托管人复核。基金管理人应计算每个估值日的基金资产净值，以约定方式发送给基金托管人。基金托管人对净值计算结果复核后，将复核结果反馈给基金管理人，由基金管理人，按照基金合同的约定对基金份额净值予以公布。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若基金托管人已主张，但基金管理人未采纳，则基金管理人书面出函给基金托管人说明不一致的情况后，基金托管人仍应配合基金管理人对外公布净值。</w:t>
      </w:r>
    </w:p>
    <w:p w14:paraId="6FED5A45" w14:textId="00FDC145"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本基金按以下方法估值：</w:t>
      </w:r>
    </w:p>
    <w:p w14:paraId="7FACFBA1"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1、目标ETF估值方法</w:t>
      </w:r>
    </w:p>
    <w:p w14:paraId="2A3E455A"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对持有的目标ETF基金，按估值日目标ETF基金的份额净值估值。</w:t>
      </w:r>
    </w:p>
    <w:p w14:paraId="31F75CE5"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2、股票估值方法</w:t>
      </w:r>
    </w:p>
    <w:p w14:paraId="79B396CD"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（1）上市流通的股票按估值日在证券交易所的收盘价估值；估值日无交易的，以最近交易日的收盘价估值。</w:t>
      </w:r>
    </w:p>
    <w:p w14:paraId="79AD3FF6"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（2）处于未上市期间的股票应区分如下情况处理：</w:t>
      </w:r>
    </w:p>
    <w:p w14:paraId="067BCC90"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1）首次发行未上市的股票，采用估值技术确定公允价值，在估值技术难以可靠计量公</w:t>
      </w:r>
      <w:r w:rsidRPr="00487553">
        <w:rPr>
          <w:rFonts w:asciiTheme="minorEastAsia" w:eastAsiaTheme="minorEastAsia" w:hAnsiTheme="minorEastAsia" w:hint="eastAsia"/>
          <w:szCs w:val="18"/>
        </w:rPr>
        <w:lastRenderedPageBreak/>
        <w:t>允价值的情况下，按成本价估值；</w:t>
      </w:r>
    </w:p>
    <w:p w14:paraId="56635E18"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2）送股、转增股、配股和增发新股，按估值日在证券交易所上市的同一股票的收盘价进行估值；该日无交易的，以最近一日的收盘价估值；</w:t>
      </w:r>
    </w:p>
    <w:p w14:paraId="3D1D97E2"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3）首次公开发行有明确锁定期的股票，同一股票在交易所上市后，按估值日在证券交易所上市的同一股票的收盘价进行估值。</w:t>
      </w:r>
    </w:p>
    <w:p w14:paraId="335898C9"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3、基金估值方法</w:t>
      </w:r>
    </w:p>
    <w:p w14:paraId="68EA2F22"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（1）除目标ETF基金外，上市流通的基金按估值日在证券交易所的收盘价估值；估值日无交易的，以最近交易日的收盘价估值；</w:t>
      </w:r>
    </w:p>
    <w:p w14:paraId="7B1F1C91"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（2）非上市流通基金以估值截止时点能够取得的最新基金份额净值进行估值。</w:t>
      </w:r>
    </w:p>
    <w:p w14:paraId="7397D21F"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4、</w:t>
      </w:r>
      <w:r w:rsidRPr="00487553">
        <w:rPr>
          <w:rFonts w:asciiTheme="minorEastAsia" w:eastAsiaTheme="minorEastAsia" w:hAnsiTheme="minorEastAsia" w:hint="eastAsia"/>
          <w:szCs w:val="18"/>
        </w:rPr>
        <w:tab/>
        <w:t>债券估值方法</w:t>
      </w:r>
    </w:p>
    <w:p w14:paraId="2264DB63"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14:paraId="12411CA4"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（2）对于非上市债券，参照主要做市商或其他权威价格提供机构的报价进行估值。</w:t>
      </w:r>
    </w:p>
    <w:p w14:paraId="66F4717A"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5、衍生品估值方法</w:t>
      </w:r>
    </w:p>
    <w:p w14:paraId="4AB25479"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（1）上市流通衍生品按估值日在证券交易所的收盘价估值；估值日无交易的，以最近交易日的收盘价估值。</w:t>
      </w:r>
    </w:p>
    <w:p w14:paraId="365F892A"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（2）非上市衍生品采用估值技术确定公允价值，在估值技术难以可靠计量公允价值的情况下，按成本估值。</w:t>
      </w:r>
    </w:p>
    <w:p w14:paraId="0A1DD69E"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6、</w:t>
      </w:r>
      <w:r w:rsidR="008F505B" w:rsidRPr="00487553">
        <w:rPr>
          <w:rFonts w:asciiTheme="minorEastAsia" w:eastAsiaTheme="minorEastAsia" w:hAnsiTheme="minorEastAsia" w:hint="eastAsia"/>
          <w:szCs w:val="18"/>
        </w:rPr>
        <w:t>估值</w:t>
      </w:r>
      <w:r w:rsidRPr="00487553">
        <w:rPr>
          <w:rFonts w:asciiTheme="minorEastAsia" w:eastAsiaTheme="minorEastAsia" w:hAnsiTheme="minorEastAsia" w:hint="eastAsia"/>
          <w:szCs w:val="18"/>
        </w:rPr>
        <w:t>汇率</w:t>
      </w:r>
    </w:p>
    <w:p w14:paraId="35BF3461"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14:paraId="034943EF"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（2）其他货币采用美元作为中间货币进行换算，具体汇率来源详见基金招募说明书。</w:t>
      </w:r>
    </w:p>
    <w:p w14:paraId="2CBFE15F"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若无法取得上述汇率价格信息时，以基金托管人或境外托管人所提供的合理公开外汇市场交易价格为准。</w:t>
      </w:r>
    </w:p>
    <w:p w14:paraId="5835C02C"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7、税收</w:t>
      </w:r>
    </w:p>
    <w:p w14:paraId="211A2D7B"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44F84D4"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8、在任何情况下，基金管理人如采用上述第1-7项规定的方法对基金资产进行估值，均应被认为采用了适当的估值方法。</w:t>
      </w:r>
    </w:p>
    <w:p w14:paraId="79A774E1"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lastRenderedPageBreak/>
        <w:t>9、如有确凿证据表明按上述方法进行估值不能客观反映其公允价值的，基金管理人可根据具体情况与基金托管人商定后，按最能反映公允价值的价格估值。</w:t>
      </w:r>
    </w:p>
    <w:p w14:paraId="283BE0F6"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10、相关法律法规以及监管部门有强制规定的，从其规定。如有新增事项，按国家最新规定估值。</w:t>
      </w:r>
    </w:p>
    <w:p w14:paraId="1C3215B6"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14:paraId="4877A083"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（二）净值差错处理</w:t>
      </w:r>
    </w:p>
    <w:p w14:paraId="3055A0AD" w14:textId="21EC370E"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当发生净值计算错误时，由基金管理人负责处理，由此给基金份额持有人和基金造成损失的，由基金管理人对基金份额持有人或者基金先行支付赔偿金。基金管理人和基金托管人应根据实际情况界定双方承担的责任，经确认后按以下条款进行赔偿。</w:t>
      </w:r>
    </w:p>
    <w:p w14:paraId="6001D394" w14:textId="7E08D665"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1）如采用本协议第九章“基金资产净值及基金份额净值的计算与复核”中估值方法的第1－7进行处理时，若基金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p>
    <w:p w14:paraId="411EC096" w14:textId="3415E2E1"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2）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基金托管人不负赔偿责任；</w:t>
      </w:r>
    </w:p>
    <w:p w14:paraId="53CF22F1"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（3）基金管理人、基金托管人按估值方法的第9项进行估值时，所造成的误差不作为基金份额净值错误处理。</w:t>
      </w:r>
    </w:p>
    <w:p w14:paraId="4C7C5955"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由于不可抗力原因或会计制度变化，或由于独立信息服务商、指数公司、交易市场、交易对手、证券交易所或登记结算公司等第三方机构发送的数据错误，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14:paraId="597BED4A"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针对净值差错处理，如果法律法规或证监会有新的规定，则按新的规定执行；如果行业有通行做法，在不违背法律法规且不损害投资者利益的前提下，双方应本着平等和保护基金份额持有人利益的原则重新协商确定处理原则。</w:t>
      </w:r>
    </w:p>
    <w:p w14:paraId="024B20CE"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（三）基金会计制度</w:t>
      </w:r>
    </w:p>
    <w:p w14:paraId="1736280D"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按国家有关部门制定的会计制度执行。</w:t>
      </w:r>
    </w:p>
    <w:p w14:paraId="13AB2A75"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（四）基金账册的建立</w:t>
      </w:r>
    </w:p>
    <w:p w14:paraId="288889AC"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lastRenderedPageBreak/>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191643AF"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（五）会计数据和财务指标的核对</w:t>
      </w:r>
    </w:p>
    <w:p w14:paraId="062F4CE5"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14:paraId="5FA5A922"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（六）基金定期报告的编制和复核</w:t>
      </w:r>
    </w:p>
    <w:p w14:paraId="7156632D"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基金财务报表由基金管理人和基金托管人每月分别独立编制。月度报表的编制，应于每月终了后5个工作日内完成。定期报告文件应按中国证监会的要求公告。季度报表的编制，应于每季度终了后15个工作日内完成；更新的招募说明书在本基金合同生效后每6个月公告一次，于截止日后的45日内公告。半年度报告在基金会计年度前6个月结束后的60日内公告；年度报告在会计年度结束后90日内公告。</w:t>
      </w:r>
    </w:p>
    <w:p w14:paraId="1A27AFC8" w14:textId="77777777" w:rsidR="00E04527"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基金管理人在月度报表完成当日，以双方约定的方式将有关报表提供基金托管人；基金托管人在2个工作日内进行复核，并将复核结果及时书面通知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半年度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14:paraId="7F8F5E00" w14:textId="77777777" w:rsidR="0052794A" w:rsidRPr="00487553" w:rsidRDefault="00E04527"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szCs w:val="18"/>
        </w:rPr>
        <w:t>基金托管人在对财务报表、季度报告、半年度报告或年度报告复核完毕后，可以出具复核确认书（盖章）或以其他双方约定的方式确认，以备有权机构对相关文件审核检查。</w:t>
      </w:r>
    </w:p>
    <w:p w14:paraId="3A1617BE"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基金份额持有人名册的登记与保管</w:t>
      </w:r>
    </w:p>
    <w:p w14:paraId="7C99A3AB"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基金管理人可委托基金注册登记机构登记和保管基金份额持有人名册。基金份额持有人名册的内容包括但不限于基金份额持有人的名称和持有的基金份额。</w:t>
      </w:r>
    </w:p>
    <w:p w14:paraId="2D28DA8C"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份额持有人名册，包括基金募集期结束时的基金份额持有人名册、基金权益登记日的基金份额持有人名册、基金份额持有人大会登记日的基金份额持有人名册、每年最后一个交易日的基金份额持有人名册，由基金注册登记机构负责编制和保管，并对基金份额</w:t>
      </w:r>
      <w:r w:rsidRPr="00487553">
        <w:rPr>
          <w:rFonts w:asciiTheme="minorEastAsia" w:eastAsiaTheme="minorEastAsia" w:hAnsiTheme="minorEastAsia" w:hint="eastAsia"/>
          <w:kern w:val="0"/>
          <w:szCs w:val="21"/>
        </w:rPr>
        <w:lastRenderedPageBreak/>
        <w:t>持有人名册的真实性、完整性和准确性负责。</w:t>
      </w:r>
    </w:p>
    <w:p w14:paraId="1354F76B"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基金管理人应根据基金托管人的要求定期和不定期向基金托管人提供基金份额持有人名册。</w:t>
      </w:r>
    </w:p>
    <w:p w14:paraId="3DA46D15"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（一）基金管理人于《基金合同》生效日及《基金合同》终止日后10个工作日内向基金托管人提供由注册登记机构编制的基金份额持有人名册；</w:t>
      </w:r>
    </w:p>
    <w:p w14:paraId="67F994B8"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（二）基金管理人于基金份额持有人大会权利登记日后5个工作日内向基金托管人提供由注册登记机构编制的基金份额持有人名册；</w:t>
      </w:r>
    </w:p>
    <w:p w14:paraId="6CCB4BBB"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（三）基金管理人于每年最后一个交易日后10个工作日内向基金托管人提供由注册登记机构编制的基金份额持有人名册；</w:t>
      </w:r>
    </w:p>
    <w:p w14:paraId="4E252C8F"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（四）除上述约定时间外，如果确因业务需要，基金托管人与基金管理人商议一致后，由基金管理人向基金托管人提供由注册登记机构编制的基金份额持有人名册。</w:t>
      </w:r>
    </w:p>
    <w:p w14:paraId="032B4BE2" w14:textId="77777777" w:rsidR="00A52DB7" w:rsidRPr="00487553" w:rsidRDefault="00A52DB7" w:rsidP="00D94E68">
      <w:pPr>
        <w:tabs>
          <w:tab w:val="num" w:pos="1260"/>
        </w:tabs>
        <w:snapToGrid w:val="0"/>
        <w:spacing w:line="360" w:lineRule="auto"/>
        <w:ind w:firstLineChars="200" w:firstLine="420"/>
        <w:rPr>
          <w:rFonts w:asciiTheme="minorEastAsia" w:eastAsiaTheme="minorEastAsia" w:hAnsiTheme="minorEastAsia"/>
          <w:kern w:val="0"/>
          <w:sz w:val="24"/>
        </w:rPr>
      </w:pPr>
      <w:r w:rsidRPr="00487553">
        <w:rPr>
          <w:rFonts w:asciiTheme="minorEastAsia" w:eastAsiaTheme="minorEastAsia" w:hAnsiTheme="minorEastAsia" w:hint="eastAsia"/>
          <w:kern w:val="0"/>
          <w:szCs w:val="21"/>
        </w:rPr>
        <w:t>基金托管人以电子版形式妥善保管基金份额持有人名册，并定期刻成光盘备份，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2F0AE017"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争议解决方式</w:t>
      </w:r>
    </w:p>
    <w:p w14:paraId="4F4394AB" w14:textId="77777777" w:rsidR="00A52DB7" w:rsidRPr="00487553" w:rsidRDefault="00A52DB7"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相关各方当事人同意，因本协议而产生的或与本协议有关的一切争议，应通过友好协商或者调解解决。托管协议当事人不愿通过协商、调解解决或者协商、调解不成的，任何一方当事人均有权将争议提交中国国际经济贸易仲裁委员会上海分会，根据该会当时有效的仲裁规则进行仲裁，仲裁的地点在上海，仲裁裁决是终局的，并对相关各方当事人均有约束力。仲裁费用由败诉方承担。</w:t>
      </w:r>
    </w:p>
    <w:p w14:paraId="6EAB4B72" w14:textId="77777777" w:rsidR="00A52DB7" w:rsidRPr="00487553" w:rsidRDefault="00A52DB7"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争议处理期间，相关各方当事人应恪守基金管理人和基金托管人职责，继续忠实、勤勉、尽责地履行《基金合同》和本协议规定的义务，维护基金份额持有人的合法权益。</w:t>
      </w:r>
    </w:p>
    <w:p w14:paraId="3C7A40C3" w14:textId="77777777" w:rsidR="0052794A" w:rsidRPr="00487553" w:rsidRDefault="00A52DB7" w:rsidP="00D94E68">
      <w:pPr>
        <w:snapToGrid w:val="0"/>
        <w:spacing w:line="360" w:lineRule="auto"/>
        <w:ind w:firstLine="200"/>
        <w:rPr>
          <w:rFonts w:asciiTheme="minorEastAsia" w:eastAsiaTheme="minorEastAsia" w:hAnsiTheme="minorEastAsia"/>
          <w:szCs w:val="18"/>
        </w:rPr>
      </w:pPr>
      <w:r w:rsidRPr="00487553">
        <w:rPr>
          <w:rFonts w:asciiTheme="minorEastAsia" w:eastAsiaTheme="minorEastAsia" w:hAnsiTheme="minorEastAsia" w:hint="eastAsia"/>
          <w:kern w:val="0"/>
          <w:szCs w:val="21"/>
        </w:rPr>
        <w:t>本协议受中华人民共和国法律管辖。</w:t>
      </w:r>
    </w:p>
    <w:p w14:paraId="3913457E" w14:textId="77777777" w:rsidR="00CD14E2" w:rsidRPr="00487553" w:rsidRDefault="00CD14E2" w:rsidP="00D94E68">
      <w:pPr>
        <w:numPr>
          <w:ilvl w:val="1"/>
          <w:numId w:val="14"/>
        </w:numPr>
        <w:snapToGrid w:val="0"/>
        <w:spacing w:line="360" w:lineRule="auto"/>
        <w:ind w:leftChars="200" w:left="420" w:firstLine="0"/>
        <w:rPr>
          <w:rFonts w:asciiTheme="minorEastAsia" w:eastAsiaTheme="minorEastAsia" w:hAnsiTheme="minorEastAsia"/>
          <w:b/>
          <w:szCs w:val="18"/>
        </w:rPr>
      </w:pPr>
      <w:r w:rsidRPr="00487553">
        <w:rPr>
          <w:rFonts w:asciiTheme="minorEastAsia" w:eastAsiaTheme="minorEastAsia" w:hAnsiTheme="minorEastAsia"/>
          <w:b/>
          <w:szCs w:val="18"/>
        </w:rPr>
        <w:t>托管协议的修改与终止</w:t>
      </w:r>
    </w:p>
    <w:p w14:paraId="335DC5A5" w14:textId="77777777" w:rsidR="00D8629F" w:rsidRPr="00487553" w:rsidRDefault="00D8629F" w:rsidP="00162D98">
      <w:pPr>
        <w:snapToGrid w:val="0"/>
        <w:spacing w:line="360" w:lineRule="auto"/>
        <w:ind w:firstLineChars="200" w:firstLine="420"/>
        <w:rPr>
          <w:rFonts w:asciiTheme="minorEastAsia" w:eastAsiaTheme="minorEastAsia" w:hAnsiTheme="minorEastAsia"/>
          <w:kern w:val="0"/>
          <w:szCs w:val="21"/>
        </w:rPr>
      </w:pPr>
      <w:bookmarkStart w:id="1245" w:name="_Toc310513412"/>
      <w:bookmarkStart w:id="1246" w:name="_Toc323051091"/>
      <w:bookmarkStart w:id="1247" w:name="_Toc510842757"/>
      <w:r w:rsidRPr="00487553">
        <w:rPr>
          <w:rFonts w:asciiTheme="minorEastAsia" w:eastAsiaTheme="minorEastAsia" w:hAnsiTheme="minorEastAsia" w:hint="eastAsia"/>
          <w:kern w:val="0"/>
          <w:szCs w:val="21"/>
        </w:rPr>
        <w:t>（一）基金托管协议的变更</w:t>
      </w:r>
      <w:bookmarkEnd w:id="1245"/>
      <w:bookmarkEnd w:id="1246"/>
    </w:p>
    <w:bookmarkEnd w:id="1247"/>
    <w:p w14:paraId="2F7420BC" w14:textId="77777777" w:rsidR="00D8629F" w:rsidRPr="00487553" w:rsidRDefault="00D8629F"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本协议双方当事人经协商一致，可以对协议进行修改。修改后的新协议，其内容不得与《基金合同》的规定有任何冲突。</w:t>
      </w:r>
    </w:p>
    <w:p w14:paraId="1518A551" w14:textId="77777777" w:rsidR="00D8629F" w:rsidRPr="00487553" w:rsidRDefault="00D8629F" w:rsidP="00162D98">
      <w:pPr>
        <w:snapToGrid w:val="0"/>
        <w:spacing w:line="360" w:lineRule="auto"/>
        <w:ind w:firstLineChars="200" w:firstLine="420"/>
        <w:rPr>
          <w:rFonts w:asciiTheme="minorEastAsia" w:eastAsiaTheme="minorEastAsia" w:hAnsiTheme="minorEastAsia"/>
          <w:kern w:val="0"/>
          <w:szCs w:val="21"/>
        </w:rPr>
      </w:pPr>
      <w:bookmarkStart w:id="1248" w:name="_Toc310513413"/>
      <w:bookmarkStart w:id="1249" w:name="_Toc323051092"/>
      <w:r w:rsidRPr="00487553">
        <w:rPr>
          <w:rFonts w:asciiTheme="minorEastAsia" w:eastAsiaTheme="minorEastAsia" w:hAnsiTheme="minorEastAsia" w:hint="eastAsia"/>
          <w:kern w:val="0"/>
          <w:szCs w:val="21"/>
        </w:rPr>
        <w:t>（二）基金托管协议的终止</w:t>
      </w:r>
      <w:bookmarkEnd w:id="1248"/>
      <w:bookmarkEnd w:id="1249"/>
    </w:p>
    <w:p w14:paraId="6D8ABFCF" w14:textId="77777777" w:rsidR="00D8629F" w:rsidRPr="00487553" w:rsidRDefault="00D8629F"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（1）《基金合同》终止；</w:t>
      </w:r>
    </w:p>
    <w:p w14:paraId="7EED488E" w14:textId="77777777" w:rsidR="00D8629F" w:rsidRPr="00487553" w:rsidRDefault="00D8629F"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（2）基金托管人解散、依法被撤销、破产，被依法取消基金托管资格或因其他事由造成其他基金托管人接管基金财产；</w:t>
      </w:r>
    </w:p>
    <w:p w14:paraId="70056033" w14:textId="77777777" w:rsidR="00D8629F" w:rsidRPr="00487553" w:rsidRDefault="00D8629F" w:rsidP="00D94E68">
      <w:pPr>
        <w:snapToGrid w:val="0"/>
        <w:spacing w:line="360" w:lineRule="auto"/>
        <w:ind w:firstLineChars="200" w:firstLine="420"/>
        <w:rPr>
          <w:rFonts w:asciiTheme="minorEastAsia" w:eastAsiaTheme="minorEastAsia" w:hAnsiTheme="minorEastAsia"/>
          <w:kern w:val="0"/>
          <w:szCs w:val="21"/>
        </w:rPr>
      </w:pPr>
      <w:r w:rsidRPr="00487553">
        <w:rPr>
          <w:rFonts w:asciiTheme="minorEastAsia" w:eastAsiaTheme="minorEastAsia" w:hAnsiTheme="minorEastAsia" w:hint="eastAsia"/>
          <w:kern w:val="0"/>
          <w:szCs w:val="21"/>
        </w:rPr>
        <w:t>（3）基金管理人解散、依法被撤销、破产，被依法取消基金管理资格或因其他事由造成其他基金管理人接管基金管理权。</w:t>
      </w:r>
    </w:p>
    <w:p w14:paraId="19488508" w14:textId="77777777" w:rsidR="0052794A" w:rsidRPr="00487553" w:rsidRDefault="00D8629F" w:rsidP="00D94E68">
      <w:pPr>
        <w:snapToGrid w:val="0"/>
        <w:spacing w:line="360" w:lineRule="auto"/>
        <w:ind w:firstLineChars="200" w:firstLine="420"/>
        <w:rPr>
          <w:rFonts w:asciiTheme="minorEastAsia" w:eastAsiaTheme="minorEastAsia" w:hAnsiTheme="minorEastAsia"/>
          <w:szCs w:val="18"/>
        </w:rPr>
      </w:pPr>
      <w:r w:rsidRPr="00487553">
        <w:rPr>
          <w:rFonts w:asciiTheme="minorEastAsia" w:eastAsiaTheme="minorEastAsia" w:hAnsiTheme="minorEastAsia" w:hint="eastAsia"/>
          <w:kern w:val="0"/>
          <w:szCs w:val="21"/>
        </w:rPr>
        <w:lastRenderedPageBreak/>
        <w:t>（4）法律法规或中国证监会规定的其他终止情形。</w:t>
      </w:r>
    </w:p>
    <w:p w14:paraId="0E244B2B" w14:textId="46ADAF79"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250" w:name="_Toc308697716"/>
      <w:bookmarkStart w:id="1251" w:name="_Toc309286238"/>
      <w:bookmarkStart w:id="1252" w:name="_Toc308697717"/>
      <w:bookmarkStart w:id="1253" w:name="_Toc309286239"/>
      <w:bookmarkStart w:id="1254" w:name="_Toc308697718"/>
      <w:bookmarkStart w:id="1255" w:name="_Toc309286240"/>
      <w:bookmarkStart w:id="1256" w:name="_Toc308697719"/>
      <w:bookmarkStart w:id="1257" w:name="_Toc309286241"/>
      <w:bookmarkStart w:id="1258" w:name="_Toc308697720"/>
      <w:bookmarkStart w:id="1259" w:name="_Toc309286242"/>
      <w:bookmarkStart w:id="1260" w:name="_Toc308697721"/>
      <w:bookmarkStart w:id="1261" w:name="_Toc309286243"/>
      <w:bookmarkStart w:id="1262" w:name="_Toc308697722"/>
      <w:bookmarkStart w:id="1263" w:name="_Toc309286244"/>
      <w:bookmarkStart w:id="1264" w:name="_Toc308697723"/>
      <w:bookmarkStart w:id="1265" w:name="_Toc309286245"/>
      <w:bookmarkStart w:id="1266" w:name="_Toc20148506"/>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r w:rsidRPr="00487553">
        <w:rPr>
          <w:rFonts w:asciiTheme="minorEastAsia" w:eastAsiaTheme="minorEastAsia" w:hAnsiTheme="minorEastAsia"/>
        </w:rPr>
        <w:lastRenderedPageBreak/>
        <w:t>对基金份额持有人的服务</w:t>
      </w:r>
      <w:bookmarkStart w:id="1267" w:name="_Toc38186634"/>
      <w:bookmarkEnd w:id="1266"/>
    </w:p>
    <w:p w14:paraId="21645A22"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14:paraId="21E295F5" w14:textId="77777777" w:rsidR="000528B9" w:rsidRPr="00487553" w:rsidRDefault="000528B9" w:rsidP="00D94E68">
      <w:pPr>
        <w:numPr>
          <w:ilvl w:val="1"/>
          <w:numId w:val="14"/>
        </w:numPr>
        <w:snapToGrid w:val="0"/>
        <w:spacing w:line="360" w:lineRule="auto"/>
        <w:ind w:leftChars="200" w:left="420" w:firstLine="0"/>
        <w:rPr>
          <w:rFonts w:asciiTheme="minorEastAsia" w:eastAsiaTheme="minorEastAsia" w:hAnsiTheme="minorEastAsia"/>
          <w:b/>
          <w:sz w:val="28"/>
          <w:szCs w:val="28"/>
        </w:rPr>
      </w:pPr>
      <w:r w:rsidRPr="00487553">
        <w:rPr>
          <w:rFonts w:asciiTheme="minorEastAsia" w:eastAsiaTheme="minorEastAsia" w:hAnsiTheme="minorEastAsia" w:hint="eastAsia"/>
          <w:b/>
          <w:sz w:val="28"/>
          <w:szCs w:val="28"/>
        </w:rPr>
        <w:t>基金份额持有人投资交易确认服务</w:t>
      </w:r>
    </w:p>
    <w:p w14:paraId="0C9F960C" w14:textId="77777777" w:rsidR="008042B4"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注册登记机构保留基金份额持有人名册上列明的所有基金份额持有人的基金交易记录。</w:t>
      </w:r>
    </w:p>
    <w:p w14:paraId="614C0D1E"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基金管理人直销</w:t>
      </w:r>
      <w:r w:rsidR="007D2394" w:rsidRPr="00487553">
        <w:rPr>
          <w:rFonts w:asciiTheme="minorEastAsia" w:eastAsiaTheme="minorEastAsia" w:hAnsiTheme="minorEastAsia" w:hint="eastAsia"/>
        </w:rPr>
        <w:t>网点</w:t>
      </w:r>
      <w:r w:rsidRPr="00487553">
        <w:rPr>
          <w:rFonts w:asciiTheme="minorEastAsia" w:eastAsiaTheme="minorEastAsia" w:hAnsiTheme="minorEastAsia" w:hint="eastAsia"/>
        </w:rPr>
        <w:t>应根据在基金管理人直销</w:t>
      </w:r>
      <w:r w:rsidR="007D2394" w:rsidRPr="00487553">
        <w:rPr>
          <w:rFonts w:asciiTheme="minorEastAsia" w:eastAsiaTheme="minorEastAsia" w:hAnsiTheme="minorEastAsia" w:hint="eastAsia"/>
        </w:rPr>
        <w:t>网点</w:t>
      </w:r>
      <w:r w:rsidRPr="00487553">
        <w:rPr>
          <w:rFonts w:asciiTheme="minorEastAsia" w:eastAsiaTheme="minorEastAsia" w:hAnsiTheme="minorEastAsia" w:hint="eastAsia"/>
        </w:rPr>
        <w:t>进行交易的投资者的要求提</w:t>
      </w:r>
      <w:r w:rsidR="007D2394" w:rsidRPr="00487553">
        <w:rPr>
          <w:rFonts w:asciiTheme="minorEastAsia" w:eastAsiaTheme="minorEastAsia" w:hAnsiTheme="minorEastAsia" w:hint="eastAsia"/>
        </w:rPr>
        <w:t>供</w:t>
      </w:r>
      <w:r w:rsidRPr="00487553">
        <w:rPr>
          <w:rFonts w:asciiTheme="minorEastAsia" w:eastAsiaTheme="minorEastAsia" w:hAnsiTheme="minorEastAsia" w:hint="eastAsia"/>
        </w:rPr>
        <w:t>成交确认单。</w:t>
      </w:r>
      <w:r w:rsidR="00E100E7" w:rsidRPr="00487553">
        <w:rPr>
          <w:rFonts w:asciiTheme="minorEastAsia" w:eastAsiaTheme="minorEastAsia" w:hAnsiTheme="minorEastAsia" w:hint="eastAsia"/>
        </w:rPr>
        <w:t>基金非直销销售机构应根据在销售网点进行交易的投资者的要求提供成交确认单</w:t>
      </w:r>
      <w:r w:rsidRPr="00487553">
        <w:rPr>
          <w:rFonts w:asciiTheme="minorEastAsia" w:eastAsiaTheme="minorEastAsia" w:hAnsiTheme="minorEastAsia" w:hint="eastAsia"/>
        </w:rPr>
        <w:t>。</w:t>
      </w:r>
    </w:p>
    <w:p w14:paraId="3DA03208" w14:textId="77777777" w:rsidR="000528B9" w:rsidRPr="00487553" w:rsidRDefault="000528B9" w:rsidP="00D94E68">
      <w:pPr>
        <w:numPr>
          <w:ilvl w:val="1"/>
          <w:numId w:val="14"/>
        </w:numPr>
        <w:snapToGrid w:val="0"/>
        <w:spacing w:line="360" w:lineRule="auto"/>
        <w:ind w:leftChars="200" w:left="420" w:firstLine="0"/>
        <w:rPr>
          <w:rFonts w:asciiTheme="minorEastAsia" w:eastAsiaTheme="minorEastAsia" w:hAnsiTheme="minorEastAsia"/>
          <w:b/>
          <w:sz w:val="28"/>
          <w:szCs w:val="28"/>
        </w:rPr>
      </w:pPr>
      <w:r w:rsidRPr="00487553">
        <w:rPr>
          <w:rFonts w:asciiTheme="minorEastAsia" w:eastAsiaTheme="minorEastAsia" w:hAnsiTheme="minorEastAsia" w:hint="eastAsia"/>
          <w:b/>
          <w:sz w:val="28"/>
          <w:szCs w:val="28"/>
        </w:rPr>
        <w:t>基金份额持有人交易记录查询服务</w:t>
      </w:r>
    </w:p>
    <w:p w14:paraId="45AC3998"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本基金份额持有人可通过基金管理人的客户服务中心查询历史交易记录。</w:t>
      </w:r>
    </w:p>
    <w:p w14:paraId="7B2A4A24" w14:textId="77777777" w:rsidR="000528B9" w:rsidRPr="00487553" w:rsidRDefault="000528B9" w:rsidP="00D94E68">
      <w:pPr>
        <w:numPr>
          <w:ilvl w:val="1"/>
          <w:numId w:val="14"/>
        </w:numPr>
        <w:snapToGrid w:val="0"/>
        <w:spacing w:line="360" w:lineRule="auto"/>
        <w:ind w:leftChars="200" w:left="420" w:firstLine="0"/>
        <w:rPr>
          <w:rFonts w:asciiTheme="minorEastAsia" w:eastAsiaTheme="minorEastAsia" w:hAnsiTheme="minorEastAsia"/>
          <w:b/>
          <w:sz w:val="28"/>
          <w:szCs w:val="28"/>
        </w:rPr>
      </w:pPr>
      <w:r w:rsidRPr="00487553">
        <w:rPr>
          <w:rFonts w:asciiTheme="minorEastAsia" w:eastAsiaTheme="minorEastAsia" w:hAnsiTheme="minorEastAsia" w:hint="eastAsia"/>
          <w:b/>
          <w:sz w:val="28"/>
          <w:szCs w:val="28"/>
        </w:rPr>
        <w:t>基金份额持有人对账单服务形式</w:t>
      </w:r>
    </w:p>
    <w:p w14:paraId="206B43B0"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1、基金份额持有人可登录本公司网站</w:t>
      </w:r>
      <w:r w:rsidR="00AC785D" w:rsidRPr="00487553">
        <w:rPr>
          <w:rFonts w:asciiTheme="minorEastAsia" w:eastAsiaTheme="minorEastAsia" w:hAnsiTheme="minorEastAsia" w:hint="eastAsia"/>
        </w:rPr>
        <w:t>（</w:t>
      </w:r>
      <w:hyperlink r:id="rId19" w:history="1">
        <w:r w:rsidRPr="00487553">
          <w:rPr>
            <w:rFonts w:asciiTheme="minorEastAsia" w:eastAsiaTheme="minorEastAsia" w:hAnsiTheme="minorEastAsia" w:hint="eastAsia"/>
          </w:rPr>
          <w:t>http://www.efunds.com.cn</w:t>
        </w:r>
      </w:hyperlink>
      <w:r w:rsidR="00AC785D" w:rsidRPr="00487553">
        <w:rPr>
          <w:rFonts w:asciiTheme="minorEastAsia" w:eastAsiaTheme="minorEastAsia" w:hAnsiTheme="minorEastAsia" w:hint="eastAsia"/>
        </w:rPr>
        <w:t>）</w:t>
      </w:r>
      <w:r w:rsidRPr="00487553">
        <w:rPr>
          <w:rFonts w:asciiTheme="minorEastAsia" w:eastAsiaTheme="minorEastAsia" w:hAnsiTheme="minorEastAsia" w:hint="eastAsia"/>
        </w:rPr>
        <w:t>查阅对账单。</w:t>
      </w:r>
    </w:p>
    <w:p w14:paraId="4E106D1C"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2、基金份额持有人也可向本公司定制纸质、电子或短信形式的定期或不定期对账单。</w:t>
      </w:r>
    </w:p>
    <w:p w14:paraId="6736B186"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具体查阅和定制账单的方法可参见本公司网站或拨打客服热线咨询。</w:t>
      </w:r>
    </w:p>
    <w:p w14:paraId="3845402A" w14:textId="77777777" w:rsidR="000528B9" w:rsidRPr="00487553" w:rsidRDefault="000528B9" w:rsidP="00D94E68">
      <w:pPr>
        <w:numPr>
          <w:ilvl w:val="1"/>
          <w:numId w:val="14"/>
        </w:numPr>
        <w:snapToGrid w:val="0"/>
        <w:spacing w:line="360" w:lineRule="auto"/>
        <w:ind w:leftChars="200" w:left="420" w:firstLine="0"/>
        <w:rPr>
          <w:rFonts w:asciiTheme="minorEastAsia" w:eastAsiaTheme="minorEastAsia" w:hAnsiTheme="minorEastAsia"/>
          <w:b/>
          <w:sz w:val="28"/>
          <w:szCs w:val="28"/>
        </w:rPr>
      </w:pPr>
      <w:r w:rsidRPr="00487553">
        <w:rPr>
          <w:rFonts w:asciiTheme="minorEastAsia" w:eastAsiaTheme="minorEastAsia" w:hAnsiTheme="minorEastAsia" w:hint="eastAsia"/>
          <w:b/>
          <w:sz w:val="28"/>
          <w:szCs w:val="28"/>
        </w:rPr>
        <w:t>定期定额投资计划</w:t>
      </w:r>
    </w:p>
    <w:p w14:paraId="53BB66F8" w14:textId="77777777" w:rsidR="000528B9" w:rsidRPr="00487553" w:rsidRDefault="00117E81"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kern w:val="0"/>
        </w:rPr>
        <w:t>基金管理人可利用</w:t>
      </w:r>
      <w:r w:rsidR="00E100E7" w:rsidRPr="00487553">
        <w:rPr>
          <w:rFonts w:asciiTheme="minorEastAsia" w:eastAsiaTheme="minorEastAsia" w:hAnsiTheme="minorEastAsia" w:hint="eastAsia"/>
        </w:rPr>
        <w:t>非直销销售机构</w:t>
      </w:r>
      <w:r w:rsidRPr="00487553">
        <w:rPr>
          <w:rFonts w:asciiTheme="minorEastAsia" w:eastAsiaTheme="minorEastAsia" w:hAnsiTheme="minorEastAsia" w:hint="eastAsia"/>
          <w:kern w:val="0"/>
        </w:rPr>
        <w:t>网点和本公司网上交易系统为投资者提供定期定额投资的</w:t>
      </w:r>
      <w:r w:rsidRPr="00487553">
        <w:rPr>
          <w:rFonts w:asciiTheme="minorEastAsia" w:eastAsiaTheme="minorEastAsia" w:hAnsiTheme="minorEastAsia" w:hint="eastAsia"/>
          <w:kern w:val="0"/>
          <w:szCs w:val="21"/>
        </w:rPr>
        <w:t>服务（本公司网上交易系统的定期定额投资服务目前仅对个人投资者开通）。</w:t>
      </w:r>
      <w:r w:rsidR="000528B9" w:rsidRPr="00487553">
        <w:rPr>
          <w:rFonts w:asciiTheme="minorEastAsia" w:eastAsiaTheme="minorEastAsia" w:hAnsiTheme="minorEastAsia" w:hint="eastAsia"/>
        </w:rPr>
        <w:t>通过定期定额投资计划，投资者可以通过固定的渠道，定期定额申购基金份额，具体实施方法见有关公告。</w:t>
      </w:r>
    </w:p>
    <w:p w14:paraId="576A1E85" w14:textId="77777777" w:rsidR="000528B9" w:rsidRPr="00487553" w:rsidRDefault="000528B9" w:rsidP="00D94E68">
      <w:pPr>
        <w:numPr>
          <w:ilvl w:val="1"/>
          <w:numId w:val="14"/>
        </w:numPr>
        <w:snapToGrid w:val="0"/>
        <w:spacing w:line="360" w:lineRule="auto"/>
        <w:ind w:leftChars="200" w:left="420" w:firstLine="0"/>
        <w:rPr>
          <w:rFonts w:asciiTheme="minorEastAsia" w:eastAsiaTheme="minorEastAsia" w:hAnsiTheme="minorEastAsia"/>
          <w:b/>
          <w:sz w:val="28"/>
          <w:szCs w:val="28"/>
        </w:rPr>
      </w:pPr>
      <w:r w:rsidRPr="00487553">
        <w:rPr>
          <w:rFonts w:asciiTheme="minorEastAsia" w:eastAsiaTheme="minorEastAsia" w:hAnsiTheme="minorEastAsia" w:hint="eastAsia"/>
          <w:b/>
          <w:sz w:val="28"/>
          <w:szCs w:val="28"/>
        </w:rPr>
        <w:t>资讯服务</w:t>
      </w:r>
    </w:p>
    <w:p w14:paraId="1D21B9C6"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1、客户服务电话</w:t>
      </w:r>
    </w:p>
    <w:p w14:paraId="31E09229" w14:textId="59960A64" w:rsidR="000528B9" w:rsidRPr="00487553" w:rsidRDefault="002E1CEC"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szCs w:val="21"/>
        </w:rPr>
        <w:t>投资者如果想了解申购与赎回的交易情况、基金账户余额、基金产品与服务等信息</w:t>
      </w:r>
      <w:r w:rsidR="009C3FA7" w:rsidRPr="00487553">
        <w:rPr>
          <w:rFonts w:asciiTheme="minorEastAsia" w:eastAsiaTheme="minorEastAsia" w:hAnsiTheme="minorEastAsia" w:hint="eastAsia"/>
          <w:kern w:val="0"/>
          <w:szCs w:val="21"/>
        </w:rPr>
        <w:t>，</w:t>
      </w:r>
      <w:r w:rsidR="009C3FA7" w:rsidRPr="00487553">
        <w:rPr>
          <w:rFonts w:asciiTheme="minorEastAsia" w:eastAsiaTheme="minorEastAsia" w:hAnsiTheme="minorEastAsia" w:hint="eastAsia"/>
          <w:kern w:val="0"/>
        </w:rPr>
        <w:t>或反馈投资过程中需要投诉与建议的情况</w:t>
      </w:r>
      <w:r w:rsidRPr="00487553">
        <w:rPr>
          <w:rFonts w:asciiTheme="minorEastAsia" w:eastAsiaTheme="minorEastAsia" w:hAnsiTheme="minorEastAsia" w:hint="eastAsia"/>
          <w:szCs w:val="21"/>
        </w:rPr>
        <w:t>，可拨打如下电话：4008818088（免长途话费）。</w:t>
      </w:r>
      <w:r w:rsidR="00CB04DB" w:rsidRPr="00487553">
        <w:rPr>
          <w:rFonts w:asciiTheme="minorEastAsia" w:eastAsiaTheme="minorEastAsia" w:hAnsiTheme="minorEastAsia" w:hint="eastAsia"/>
          <w:szCs w:val="21"/>
        </w:rPr>
        <w:t>投资者如果认为自己不能准确理解本基金《招募说明书》、《基金合同》的具体内容，也可拨打上述电话详询。</w:t>
      </w:r>
    </w:p>
    <w:p w14:paraId="0F53EF56"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2、互联网站及电子信箱</w:t>
      </w:r>
    </w:p>
    <w:p w14:paraId="221171D0"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网址：</w:t>
      </w:r>
      <w:hyperlink r:id="rId20" w:history="1">
        <w:r w:rsidRPr="00487553">
          <w:rPr>
            <w:rFonts w:asciiTheme="minorEastAsia" w:eastAsiaTheme="minorEastAsia" w:hAnsiTheme="minorEastAsia" w:hint="eastAsia"/>
          </w:rPr>
          <w:t>http://www.efunds.com.cn</w:t>
        </w:r>
      </w:hyperlink>
    </w:p>
    <w:p w14:paraId="1247FB8D" w14:textId="77777777" w:rsidR="000528B9" w:rsidRPr="00487553" w:rsidRDefault="000528B9" w:rsidP="00D94E68">
      <w:pPr>
        <w:snapToGrid w:val="0"/>
        <w:spacing w:line="360" w:lineRule="auto"/>
        <w:ind w:firstLineChars="200" w:firstLine="420"/>
        <w:rPr>
          <w:rFonts w:asciiTheme="minorEastAsia" w:eastAsiaTheme="minorEastAsia" w:hAnsiTheme="minorEastAsia"/>
        </w:rPr>
      </w:pPr>
      <w:r w:rsidRPr="00487553">
        <w:rPr>
          <w:rFonts w:asciiTheme="minorEastAsia" w:eastAsiaTheme="minorEastAsia" w:hAnsiTheme="minorEastAsia" w:hint="eastAsia"/>
        </w:rPr>
        <w:t>电子信箱：</w:t>
      </w:r>
      <w:hyperlink r:id="rId21" w:history="1">
        <w:r w:rsidRPr="00487553">
          <w:rPr>
            <w:rFonts w:asciiTheme="minorEastAsia" w:eastAsiaTheme="minorEastAsia" w:hAnsiTheme="minorEastAsia" w:hint="eastAsia"/>
          </w:rPr>
          <w:t>service@efunds.com.cn</w:t>
        </w:r>
      </w:hyperlink>
    </w:p>
    <w:p w14:paraId="6E8A1288" w14:textId="6C198008"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1268" w:name="_Toc38438275"/>
      <w:bookmarkStart w:id="1269" w:name="_Toc38438612"/>
      <w:bookmarkStart w:id="1270" w:name="_Toc38438949"/>
      <w:bookmarkStart w:id="1271" w:name="_Toc38439286"/>
      <w:bookmarkStart w:id="1272" w:name="_Toc38439623"/>
      <w:bookmarkStart w:id="1273" w:name="_Toc38439960"/>
      <w:bookmarkStart w:id="1274" w:name="_Toc38440297"/>
      <w:bookmarkStart w:id="1275" w:name="_Toc38440630"/>
      <w:bookmarkStart w:id="1276" w:name="_Toc38440829"/>
      <w:bookmarkStart w:id="1277" w:name="_Toc38441161"/>
      <w:bookmarkStart w:id="1278" w:name="_Toc38441493"/>
      <w:bookmarkStart w:id="1279" w:name="_Toc38441821"/>
      <w:bookmarkStart w:id="1280" w:name="_Toc38442153"/>
      <w:bookmarkStart w:id="1281" w:name="_Toc38442485"/>
      <w:bookmarkStart w:id="1282" w:name="_Toc38442816"/>
      <w:bookmarkStart w:id="1283" w:name="_Toc38443147"/>
      <w:bookmarkStart w:id="1284" w:name="_Toc38443478"/>
      <w:bookmarkStart w:id="1285" w:name="_Toc38443809"/>
      <w:bookmarkStart w:id="1286" w:name="_Toc38438277"/>
      <w:bookmarkStart w:id="1287" w:name="_Toc38438614"/>
      <w:bookmarkStart w:id="1288" w:name="_Toc38438951"/>
      <w:bookmarkStart w:id="1289" w:name="_Toc38439288"/>
      <w:bookmarkStart w:id="1290" w:name="_Toc38439625"/>
      <w:bookmarkStart w:id="1291" w:name="_Toc38439962"/>
      <w:bookmarkStart w:id="1292" w:name="_Toc38440299"/>
      <w:bookmarkStart w:id="1293" w:name="_Toc38440632"/>
      <w:bookmarkStart w:id="1294" w:name="_Toc38440831"/>
      <w:bookmarkStart w:id="1295" w:name="_Toc38441163"/>
      <w:bookmarkStart w:id="1296" w:name="_Toc38441495"/>
      <w:bookmarkStart w:id="1297" w:name="_Toc38441823"/>
      <w:bookmarkStart w:id="1298" w:name="_Toc38442155"/>
      <w:bookmarkStart w:id="1299" w:name="_Toc38442487"/>
      <w:bookmarkStart w:id="1300" w:name="_Toc38442818"/>
      <w:bookmarkStart w:id="1301" w:name="_Toc38443149"/>
      <w:bookmarkStart w:id="1302" w:name="_Toc38443480"/>
      <w:bookmarkStart w:id="1303" w:name="_Toc38443811"/>
      <w:bookmarkStart w:id="1304" w:name="_Toc38438278"/>
      <w:bookmarkStart w:id="1305" w:name="_Toc38438615"/>
      <w:bookmarkStart w:id="1306" w:name="_Toc38438952"/>
      <w:bookmarkStart w:id="1307" w:name="_Toc38439289"/>
      <w:bookmarkStart w:id="1308" w:name="_Toc38439626"/>
      <w:bookmarkStart w:id="1309" w:name="_Toc38439963"/>
      <w:bookmarkStart w:id="1310" w:name="_Toc38440300"/>
      <w:bookmarkStart w:id="1311" w:name="_Toc38440633"/>
      <w:bookmarkStart w:id="1312" w:name="_Toc38440832"/>
      <w:bookmarkStart w:id="1313" w:name="_Toc38441164"/>
      <w:bookmarkStart w:id="1314" w:name="_Toc38441496"/>
      <w:bookmarkStart w:id="1315" w:name="_Toc38441824"/>
      <w:bookmarkStart w:id="1316" w:name="_Toc38442156"/>
      <w:bookmarkStart w:id="1317" w:name="_Toc38442488"/>
      <w:bookmarkStart w:id="1318" w:name="_Toc38442819"/>
      <w:bookmarkStart w:id="1319" w:name="_Toc38443150"/>
      <w:bookmarkStart w:id="1320" w:name="_Toc38443481"/>
      <w:bookmarkStart w:id="1321" w:name="_Toc38443812"/>
      <w:bookmarkStart w:id="1322" w:name="_Toc38438279"/>
      <w:bookmarkStart w:id="1323" w:name="_Toc38438616"/>
      <w:bookmarkStart w:id="1324" w:name="_Toc38438953"/>
      <w:bookmarkStart w:id="1325" w:name="_Toc38439290"/>
      <w:bookmarkStart w:id="1326" w:name="_Toc38439627"/>
      <w:bookmarkStart w:id="1327" w:name="_Toc38439964"/>
      <w:bookmarkStart w:id="1328" w:name="_Toc38440301"/>
      <w:bookmarkStart w:id="1329" w:name="_Toc38440634"/>
      <w:bookmarkStart w:id="1330" w:name="_Toc38440833"/>
      <w:bookmarkStart w:id="1331" w:name="_Toc38441165"/>
      <w:bookmarkStart w:id="1332" w:name="_Toc38441497"/>
      <w:bookmarkStart w:id="1333" w:name="_Toc38441825"/>
      <w:bookmarkStart w:id="1334" w:name="_Toc38442157"/>
      <w:bookmarkStart w:id="1335" w:name="_Toc38442489"/>
      <w:bookmarkStart w:id="1336" w:name="_Toc38442820"/>
      <w:bookmarkStart w:id="1337" w:name="_Toc38443151"/>
      <w:bookmarkStart w:id="1338" w:name="_Toc38443482"/>
      <w:bookmarkStart w:id="1339" w:name="_Toc38443813"/>
      <w:bookmarkStart w:id="1340" w:name="_Toc38438280"/>
      <w:bookmarkStart w:id="1341" w:name="_Toc38438617"/>
      <w:bookmarkStart w:id="1342" w:name="_Toc38438954"/>
      <w:bookmarkStart w:id="1343" w:name="_Toc38439291"/>
      <w:bookmarkStart w:id="1344" w:name="_Toc38439628"/>
      <w:bookmarkStart w:id="1345" w:name="_Toc38439965"/>
      <w:bookmarkStart w:id="1346" w:name="_Toc38440302"/>
      <w:bookmarkStart w:id="1347" w:name="_Toc38440635"/>
      <w:bookmarkStart w:id="1348" w:name="_Toc38440834"/>
      <w:bookmarkStart w:id="1349" w:name="_Toc38441166"/>
      <w:bookmarkStart w:id="1350" w:name="_Toc38441498"/>
      <w:bookmarkStart w:id="1351" w:name="_Toc38441826"/>
      <w:bookmarkStart w:id="1352" w:name="_Toc38442158"/>
      <w:bookmarkStart w:id="1353" w:name="_Toc38442490"/>
      <w:bookmarkStart w:id="1354" w:name="_Toc38442821"/>
      <w:bookmarkStart w:id="1355" w:name="_Toc38443152"/>
      <w:bookmarkStart w:id="1356" w:name="_Toc38443483"/>
      <w:bookmarkStart w:id="1357" w:name="_Toc38443814"/>
      <w:bookmarkStart w:id="1358" w:name="_Toc38438281"/>
      <w:bookmarkStart w:id="1359" w:name="_Toc38438618"/>
      <w:bookmarkStart w:id="1360" w:name="_Toc38438955"/>
      <w:bookmarkStart w:id="1361" w:name="_Toc38439292"/>
      <w:bookmarkStart w:id="1362" w:name="_Toc38439629"/>
      <w:bookmarkStart w:id="1363" w:name="_Toc38439966"/>
      <w:bookmarkStart w:id="1364" w:name="_Toc38440303"/>
      <w:bookmarkStart w:id="1365" w:name="_Toc38440636"/>
      <w:bookmarkStart w:id="1366" w:name="_Toc38440835"/>
      <w:bookmarkStart w:id="1367" w:name="_Toc38441167"/>
      <w:bookmarkStart w:id="1368" w:name="_Toc38441499"/>
      <w:bookmarkStart w:id="1369" w:name="_Toc38441827"/>
      <w:bookmarkStart w:id="1370" w:name="_Toc38442159"/>
      <w:bookmarkStart w:id="1371" w:name="_Toc38442491"/>
      <w:bookmarkStart w:id="1372" w:name="_Toc38442822"/>
      <w:bookmarkStart w:id="1373" w:name="_Toc38443153"/>
      <w:bookmarkStart w:id="1374" w:name="_Toc38443484"/>
      <w:bookmarkStart w:id="1375" w:name="_Toc38443815"/>
      <w:bookmarkStart w:id="1376" w:name="_Toc38438282"/>
      <w:bookmarkStart w:id="1377" w:name="_Toc38438619"/>
      <w:bookmarkStart w:id="1378" w:name="_Toc38438956"/>
      <w:bookmarkStart w:id="1379" w:name="_Toc38439293"/>
      <w:bookmarkStart w:id="1380" w:name="_Toc38439630"/>
      <w:bookmarkStart w:id="1381" w:name="_Toc38439967"/>
      <w:bookmarkStart w:id="1382" w:name="_Toc38440304"/>
      <w:bookmarkStart w:id="1383" w:name="_Toc38440637"/>
      <w:bookmarkStart w:id="1384" w:name="_Toc38440836"/>
      <w:bookmarkStart w:id="1385" w:name="_Toc38441168"/>
      <w:bookmarkStart w:id="1386" w:name="_Toc38441500"/>
      <w:bookmarkStart w:id="1387" w:name="_Toc38441828"/>
      <w:bookmarkStart w:id="1388" w:name="_Toc38442160"/>
      <w:bookmarkStart w:id="1389" w:name="_Toc38442492"/>
      <w:bookmarkStart w:id="1390" w:name="_Toc38442823"/>
      <w:bookmarkStart w:id="1391" w:name="_Toc38443154"/>
      <w:bookmarkStart w:id="1392" w:name="_Toc38443485"/>
      <w:bookmarkStart w:id="1393" w:name="_Toc38443816"/>
      <w:bookmarkStart w:id="1394" w:name="_Toc38438283"/>
      <w:bookmarkStart w:id="1395" w:name="_Toc38438620"/>
      <w:bookmarkStart w:id="1396" w:name="_Toc38438957"/>
      <w:bookmarkStart w:id="1397" w:name="_Toc38439294"/>
      <w:bookmarkStart w:id="1398" w:name="_Toc38439631"/>
      <w:bookmarkStart w:id="1399" w:name="_Toc38439968"/>
      <w:bookmarkStart w:id="1400" w:name="_Toc38440305"/>
      <w:bookmarkStart w:id="1401" w:name="_Toc38440638"/>
      <w:bookmarkStart w:id="1402" w:name="_Toc38440837"/>
      <w:bookmarkStart w:id="1403" w:name="_Toc38441169"/>
      <w:bookmarkStart w:id="1404" w:name="_Toc38441501"/>
      <w:bookmarkStart w:id="1405" w:name="_Toc38441829"/>
      <w:bookmarkStart w:id="1406" w:name="_Toc38442161"/>
      <w:bookmarkStart w:id="1407" w:name="_Toc38442493"/>
      <w:bookmarkStart w:id="1408" w:name="_Toc38442824"/>
      <w:bookmarkStart w:id="1409" w:name="_Toc38443155"/>
      <w:bookmarkStart w:id="1410" w:name="_Toc38443486"/>
      <w:bookmarkStart w:id="1411" w:name="_Toc38443817"/>
      <w:bookmarkStart w:id="1412" w:name="_Toc38438284"/>
      <w:bookmarkStart w:id="1413" w:name="_Toc38438621"/>
      <w:bookmarkStart w:id="1414" w:name="_Toc38438958"/>
      <w:bookmarkStart w:id="1415" w:name="_Toc38439295"/>
      <w:bookmarkStart w:id="1416" w:name="_Toc38439632"/>
      <w:bookmarkStart w:id="1417" w:name="_Toc38439969"/>
      <w:bookmarkStart w:id="1418" w:name="_Toc38440306"/>
      <w:bookmarkStart w:id="1419" w:name="_Toc38440639"/>
      <w:bookmarkStart w:id="1420" w:name="_Toc38440838"/>
      <w:bookmarkStart w:id="1421" w:name="_Toc38441170"/>
      <w:bookmarkStart w:id="1422" w:name="_Toc38441502"/>
      <w:bookmarkStart w:id="1423" w:name="_Toc38441830"/>
      <w:bookmarkStart w:id="1424" w:name="_Toc38442162"/>
      <w:bookmarkStart w:id="1425" w:name="_Toc38442494"/>
      <w:bookmarkStart w:id="1426" w:name="_Toc38442825"/>
      <w:bookmarkStart w:id="1427" w:name="_Toc38443156"/>
      <w:bookmarkStart w:id="1428" w:name="_Toc38443487"/>
      <w:bookmarkStart w:id="1429" w:name="_Toc38443818"/>
      <w:bookmarkStart w:id="1430" w:name="_Toc38438285"/>
      <w:bookmarkStart w:id="1431" w:name="_Toc38438622"/>
      <w:bookmarkStart w:id="1432" w:name="_Toc38438959"/>
      <w:bookmarkStart w:id="1433" w:name="_Toc38439296"/>
      <w:bookmarkStart w:id="1434" w:name="_Toc38439633"/>
      <w:bookmarkStart w:id="1435" w:name="_Toc38439970"/>
      <w:bookmarkStart w:id="1436" w:name="_Toc38440307"/>
      <w:bookmarkStart w:id="1437" w:name="_Toc38440640"/>
      <w:bookmarkStart w:id="1438" w:name="_Toc38440839"/>
      <w:bookmarkStart w:id="1439" w:name="_Toc38441171"/>
      <w:bookmarkStart w:id="1440" w:name="_Toc38441503"/>
      <w:bookmarkStart w:id="1441" w:name="_Toc38441831"/>
      <w:bookmarkStart w:id="1442" w:name="_Toc38442163"/>
      <w:bookmarkStart w:id="1443" w:name="_Toc38442495"/>
      <w:bookmarkStart w:id="1444" w:name="_Toc38442826"/>
      <w:bookmarkStart w:id="1445" w:name="_Toc38443157"/>
      <w:bookmarkStart w:id="1446" w:name="_Toc38443488"/>
      <w:bookmarkStart w:id="1447" w:name="_Toc38443819"/>
      <w:bookmarkStart w:id="1448" w:name="_Toc38438286"/>
      <w:bookmarkStart w:id="1449" w:name="_Toc38438623"/>
      <w:bookmarkStart w:id="1450" w:name="_Toc38438960"/>
      <w:bookmarkStart w:id="1451" w:name="_Toc38439297"/>
      <w:bookmarkStart w:id="1452" w:name="_Toc38439634"/>
      <w:bookmarkStart w:id="1453" w:name="_Toc38439971"/>
      <w:bookmarkStart w:id="1454" w:name="_Toc38440308"/>
      <w:bookmarkStart w:id="1455" w:name="_Toc38440641"/>
      <w:bookmarkStart w:id="1456" w:name="_Toc38440840"/>
      <w:bookmarkStart w:id="1457" w:name="_Toc38441172"/>
      <w:bookmarkStart w:id="1458" w:name="_Toc38441504"/>
      <w:bookmarkStart w:id="1459" w:name="_Toc38441832"/>
      <w:bookmarkStart w:id="1460" w:name="_Toc38442164"/>
      <w:bookmarkStart w:id="1461" w:name="_Toc38442496"/>
      <w:bookmarkStart w:id="1462" w:name="_Toc38442827"/>
      <w:bookmarkStart w:id="1463" w:name="_Toc38443158"/>
      <w:bookmarkStart w:id="1464" w:name="_Toc38443489"/>
      <w:bookmarkStart w:id="1465" w:name="_Toc38443820"/>
      <w:bookmarkStart w:id="1466" w:name="_Toc38438287"/>
      <w:bookmarkStart w:id="1467" w:name="_Toc38438624"/>
      <w:bookmarkStart w:id="1468" w:name="_Toc38438961"/>
      <w:bookmarkStart w:id="1469" w:name="_Toc38439298"/>
      <w:bookmarkStart w:id="1470" w:name="_Toc38439635"/>
      <w:bookmarkStart w:id="1471" w:name="_Toc38439972"/>
      <w:bookmarkStart w:id="1472" w:name="_Toc38440309"/>
      <w:bookmarkStart w:id="1473" w:name="_Toc38440642"/>
      <w:bookmarkStart w:id="1474" w:name="_Toc38440841"/>
      <w:bookmarkStart w:id="1475" w:name="_Toc38441173"/>
      <w:bookmarkStart w:id="1476" w:name="_Toc38441505"/>
      <w:bookmarkStart w:id="1477" w:name="_Toc38441833"/>
      <w:bookmarkStart w:id="1478" w:name="_Toc38442165"/>
      <w:bookmarkStart w:id="1479" w:name="_Toc38442497"/>
      <w:bookmarkStart w:id="1480" w:name="_Toc38442828"/>
      <w:bookmarkStart w:id="1481" w:name="_Toc38443159"/>
      <w:bookmarkStart w:id="1482" w:name="_Toc38443490"/>
      <w:bookmarkStart w:id="1483" w:name="_Toc38443821"/>
      <w:bookmarkStart w:id="1484" w:name="_Toc38438288"/>
      <w:bookmarkStart w:id="1485" w:name="_Toc38438625"/>
      <w:bookmarkStart w:id="1486" w:name="_Toc38438962"/>
      <w:bookmarkStart w:id="1487" w:name="_Toc38439299"/>
      <w:bookmarkStart w:id="1488" w:name="_Toc38439636"/>
      <w:bookmarkStart w:id="1489" w:name="_Toc38439973"/>
      <w:bookmarkStart w:id="1490" w:name="_Toc38440310"/>
      <w:bookmarkStart w:id="1491" w:name="_Toc38440643"/>
      <w:bookmarkStart w:id="1492" w:name="_Toc38440842"/>
      <w:bookmarkStart w:id="1493" w:name="_Toc38441174"/>
      <w:bookmarkStart w:id="1494" w:name="_Toc38441506"/>
      <w:bookmarkStart w:id="1495" w:name="_Toc38441834"/>
      <w:bookmarkStart w:id="1496" w:name="_Toc38442166"/>
      <w:bookmarkStart w:id="1497" w:name="_Toc38442498"/>
      <w:bookmarkStart w:id="1498" w:name="_Toc38442829"/>
      <w:bookmarkStart w:id="1499" w:name="_Toc38443160"/>
      <w:bookmarkStart w:id="1500" w:name="_Toc38443491"/>
      <w:bookmarkStart w:id="1501" w:name="_Toc38443822"/>
      <w:bookmarkStart w:id="1502" w:name="_Toc38438289"/>
      <w:bookmarkStart w:id="1503" w:name="_Toc38438626"/>
      <w:bookmarkStart w:id="1504" w:name="_Toc38438963"/>
      <w:bookmarkStart w:id="1505" w:name="_Toc38439300"/>
      <w:bookmarkStart w:id="1506" w:name="_Toc38439637"/>
      <w:bookmarkStart w:id="1507" w:name="_Toc38439974"/>
      <w:bookmarkStart w:id="1508" w:name="_Toc38440311"/>
      <w:bookmarkStart w:id="1509" w:name="_Toc38440644"/>
      <w:bookmarkStart w:id="1510" w:name="_Toc38440843"/>
      <w:bookmarkStart w:id="1511" w:name="_Toc38441175"/>
      <w:bookmarkStart w:id="1512" w:name="_Toc38441507"/>
      <w:bookmarkStart w:id="1513" w:name="_Toc38441835"/>
      <w:bookmarkStart w:id="1514" w:name="_Toc38442167"/>
      <w:bookmarkStart w:id="1515" w:name="_Toc38442499"/>
      <w:bookmarkStart w:id="1516" w:name="_Toc38442830"/>
      <w:bookmarkStart w:id="1517" w:name="_Toc38443161"/>
      <w:bookmarkStart w:id="1518" w:name="_Toc38443492"/>
      <w:bookmarkStart w:id="1519" w:name="_Toc38443823"/>
      <w:bookmarkStart w:id="1520" w:name="_Toc38438290"/>
      <w:bookmarkStart w:id="1521" w:name="_Toc38438627"/>
      <w:bookmarkStart w:id="1522" w:name="_Toc38438964"/>
      <w:bookmarkStart w:id="1523" w:name="_Toc38439301"/>
      <w:bookmarkStart w:id="1524" w:name="_Toc38439638"/>
      <w:bookmarkStart w:id="1525" w:name="_Toc38439975"/>
      <w:bookmarkStart w:id="1526" w:name="_Toc38440312"/>
      <w:bookmarkStart w:id="1527" w:name="_Toc38440645"/>
      <w:bookmarkStart w:id="1528" w:name="_Toc38440844"/>
      <w:bookmarkStart w:id="1529" w:name="_Toc38441176"/>
      <w:bookmarkStart w:id="1530" w:name="_Toc38441508"/>
      <w:bookmarkStart w:id="1531" w:name="_Toc38441836"/>
      <w:bookmarkStart w:id="1532" w:name="_Toc38442168"/>
      <w:bookmarkStart w:id="1533" w:name="_Toc38442500"/>
      <w:bookmarkStart w:id="1534" w:name="_Toc38442831"/>
      <w:bookmarkStart w:id="1535" w:name="_Toc38443162"/>
      <w:bookmarkStart w:id="1536" w:name="_Toc38443493"/>
      <w:bookmarkStart w:id="1537" w:name="_Toc38443824"/>
      <w:bookmarkStart w:id="1538" w:name="_Toc38438291"/>
      <w:bookmarkStart w:id="1539" w:name="_Toc38438628"/>
      <w:bookmarkStart w:id="1540" w:name="_Toc38438965"/>
      <w:bookmarkStart w:id="1541" w:name="_Toc38439302"/>
      <w:bookmarkStart w:id="1542" w:name="_Toc38439639"/>
      <w:bookmarkStart w:id="1543" w:name="_Toc38439976"/>
      <w:bookmarkStart w:id="1544" w:name="_Toc38440313"/>
      <w:bookmarkStart w:id="1545" w:name="_Toc38440646"/>
      <w:bookmarkStart w:id="1546" w:name="_Toc38440845"/>
      <w:bookmarkStart w:id="1547" w:name="_Toc38441177"/>
      <w:bookmarkStart w:id="1548" w:name="_Toc38441509"/>
      <w:bookmarkStart w:id="1549" w:name="_Toc38441837"/>
      <w:bookmarkStart w:id="1550" w:name="_Toc38442169"/>
      <w:bookmarkStart w:id="1551" w:name="_Toc38442501"/>
      <w:bookmarkStart w:id="1552" w:name="_Toc38442832"/>
      <w:bookmarkStart w:id="1553" w:name="_Toc38443163"/>
      <w:bookmarkStart w:id="1554" w:name="_Toc38443494"/>
      <w:bookmarkStart w:id="1555" w:name="_Toc38443825"/>
      <w:bookmarkStart w:id="1556" w:name="_Toc38438292"/>
      <w:bookmarkStart w:id="1557" w:name="_Toc38438629"/>
      <w:bookmarkStart w:id="1558" w:name="_Toc38438966"/>
      <w:bookmarkStart w:id="1559" w:name="_Toc38439303"/>
      <w:bookmarkStart w:id="1560" w:name="_Toc38439640"/>
      <w:bookmarkStart w:id="1561" w:name="_Toc38439977"/>
      <w:bookmarkStart w:id="1562" w:name="_Toc38440314"/>
      <w:bookmarkStart w:id="1563" w:name="_Toc38440647"/>
      <w:bookmarkStart w:id="1564" w:name="_Toc38440846"/>
      <w:bookmarkStart w:id="1565" w:name="_Toc38441178"/>
      <w:bookmarkStart w:id="1566" w:name="_Toc38441510"/>
      <w:bookmarkStart w:id="1567" w:name="_Toc38441838"/>
      <w:bookmarkStart w:id="1568" w:name="_Toc38442170"/>
      <w:bookmarkStart w:id="1569" w:name="_Toc38442502"/>
      <w:bookmarkStart w:id="1570" w:name="_Toc38442833"/>
      <w:bookmarkStart w:id="1571" w:name="_Toc38443164"/>
      <w:bookmarkStart w:id="1572" w:name="_Toc38443495"/>
      <w:bookmarkStart w:id="1573" w:name="_Toc38443826"/>
      <w:bookmarkStart w:id="1574" w:name="_Toc38438293"/>
      <w:bookmarkStart w:id="1575" w:name="_Toc38438630"/>
      <w:bookmarkStart w:id="1576" w:name="_Toc38438967"/>
      <w:bookmarkStart w:id="1577" w:name="_Toc38439304"/>
      <w:bookmarkStart w:id="1578" w:name="_Toc38439641"/>
      <w:bookmarkStart w:id="1579" w:name="_Toc38439978"/>
      <w:bookmarkStart w:id="1580" w:name="_Toc38440315"/>
      <w:bookmarkStart w:id="1581" w:name="_Toc38440648"/>
      <w:bookmarkStart w:id="1582" w:name="_Toc38440847"/>
      <w:bookmarkStart w:id="1583" w:name="_Toc38441179"/>
      <w:bookmarkStart w:id="1584" w:name="_Toc38441511"/>
      <w:bookmarkStart w:id="1585" w:name="_Toc38441839"/>
      <w:bookmarkStart w:id="1586" w:name="_Toc38442171"/>
      <w:bookmarkStart w:id="1587" w:name="_Toc38442503"/>
      <w:bookmarkStart w:id="1588" w:name="_Toc38442834"/>
      <w:bookmarkStart w:id="1589" w:name="_Toc38443165"/>
      <w:bookmarkStart w:id="1590" w:name="_Toc38443496"/>
      <w:bookmarkStart w:id="1591" w:name="_Toc38443827"/>
      <w:bookmarkStart w:id="1592" w:name="_Toc38438296"/>
      <w:bookmarkStart w:id="1593" w:name="_Toc38438633"/>
      <w:bookmarkStart w:id="1594" w:name="_Toc38438970"/>
      <w:bookmarkStart w:id="1595" w:name="_Toc38439307"/>
      <w:bookmarkStart w:id="1596" w:name="_Toc38439644"/>
      <w:bookmarkStart w:id="1597" w:name="_Toc38439981"/>
      <w:bookmarkStart w:id="1598" w:name="_Toc38440318"/>
      <w:bookmarkStart w:id="1599" w:name="_Toc38440651"/>
      <w:bookmarkStart w:id="1600" w:name="_Toc38440850"/>
      <w:bookmarkStart w:id="1601" w:name="_Toc38441182"/>
      <w:bookmarkStart w:id="1602" w:name="_Toc38441514"/>
      <w:bookmarkStart w:id="1603" w:name="_Toc38441842"/>
      <w:bookmarkStart w:id="1604" w:name="_Toc38442174"/>
      <w:bookmarkStart w:id="1605" w:name="_Toc38442506"/>
      <w:bookmarkStart w:id="1606" w:name="_Toc38442837"/>
      <w:bookmarkStart w:id="1607" w:name="_Toc38443168"/>
      <w:bookmarkStart w:id="1608" w:name="_Toc38443499"/>
      <w:bookmarkStart w:id="1609" w:name="_Toc38443830"/>
      <w:bookmarkStart w:id="1610" w:name="_Toc38438297"/>
      <w:bookmarkStart w:id="1611" w:name="_Toc38438634"/>
      <w:bookmarkStart w:id="1612" w:name="_Toc38438971"/>
      <w:bookmarkStart w:id="1613" w:name="_Toc38439308"/>
      <w:bookmarkStart w:id="1614" w:name="_Toc38439645"/>
      <w:bookmarkStart w:id="1615" w:name="_Toc38439982"/>
      <w:bookmarkStart w:id="1616" w:name="_Toc38440319"/>
      <w:bookmarkStart w:id="1617" w:name="_Toc38440652"/>
      <w:bookmarkStart w:id="1618" w:name="_Toc38440851"/>
      <w:bookmarkStart w:id="1619" w:name="_Toc38441183"/>
      <w:bookmarkStart w:id="1620" w:name="_Toc38441515"/>
      <w:bookmarkStart w:id="1621" w:name="_Toc38441843"/>
      <w:bookmarkStart w:id="1622" w:name="_Toc38442175"/>
      <w:bookmarkStart w:id="1623" w:name="_Toc38442507"/>
      <w:bookmarkStart w:id="1624" w:name="_Toc38442838"/>
      <w:bookmarkStart w:id="1625" w:name="_Toc38443169"/>
      <w:bookmarkStart w:id="1626" w:name="_Toc38443500"/>
      <w:bookmarkStart w:id="1627" w:name="_Toc38443831"/>
      <w:bookmarkStart w:id="1628" w:name="_Toc38438298"/>
      <w:bookmarkStart w:id="1629" w:name="_Toc38438635"/>
      <w:bookmarkStart w:id="1630" w:name="_Toc38438972"/>
      <w:bookmarkStart w:id="1631" w:name="_Toc38439309"/>
      <w:bookmarkStart w:id="1632" w:name="_Toc38439646"/>
      <w:bookmarkStart w:id="1633" w:name="_Toc38439983"/>
      <w:bookmarkStart w:id="1634" w:name="_Toc38440320"/>
      <w:bookmarkStart w:id="1635" w:name="_Toc38440653"/>
      <w:bookmarkStart w:id="1636" w:name="_Toc38440852"/>
      <w:bookmarkStart w:id="1637" w:name="_Toc38441184"/>
      <w:bookmarkStart w:id="1638" w:name="_Toc38441516"/>
      <w:bookmarkStart w:id="1639" w:name="_Toc38441844"/>
      <w:bookmarkStart w:id="1640" w:name="_Toc38442176"/>
      <w:bookmarkStart w:id="1641" w:name="_Toc38442508"/>
      <w:bookmarkStart w:id="1642" w:name="_Toc38442839"/>
      <w:bookmarkStart w:id="1643" w:name="_Toc38443170"/>
      <w:bookmarkStart w:id="1644" w:name="_Toc38443501"/>
      <w:bookmarkStart w:id="1645" w:name="_Toc38443832"/>
      <w:bookmarkStart w:id="1646" w:name="_Toc38438299"/>
      <w:bookmarkStart w:id="1647" w:name="_Toc38438636"/>
      <w:bookmarkStart w:id="1648" w:name="_Toc38438973"/>
      <w:bookmarkStart w:id="1649" w:name="_Toc38439310"/>
      <w:bookmarkStart w:id="1650" w:name="_Toc38439647"/>
      <w:bookmarkStart w:id="1651" w:name="_Toc38439984"/>
      <w:bookmarkStart w:id="1652" w:name="_Toc38440321"/>
      <w:bookmarkStart w:id="1653" w:name="_Toc38440654"/>
      <w:bookmarkStart w:id="1654" w:name="_Toc38440853"/>
      <w:bookmarkStart w:id="1655" w:name="_Toc38441185"/>
      <w:bookmarkStart w:id="1656" w:name="_Toc38441517"/>
      <w:bookmarkStart w:id="1657" w:name="_Toc38441845"/>
      <w:bookmarkStart w:id="1658" w:name="_Toc38442177"/>
      <w:bookmarkStart w:id="1659" w:name="_Toc38442509"/>
      <w:bookmarkStart w:id="1660" w:name="_Toc38442840"/>
      <w:bookmarkStart w:id="1661" w:name="_Toc38443171"/>
      <w:bookmarkStart w:id="1662" w:name="_Toc38443502"/>
      <w:bookmarkStart w:id="1663" w:name="_Toc38443833"/>
      <w:bookmarkStart w:id="1664" w:name="_Toc38438301"/>
      <w:bookmarkStart w:id="1665" w:name="_Toc38438638"/>
      <w:bookmarkStart w:id="1666" w:name="_Toc38438975"/>
      <w:bookmarkStart w:id="1667" w:name="_Toc38439312"/>
      <w:bookmarkStart w:id="1668" w:name="_Toc38439649"/>
      <w:bookmarkStart w:id="1669" w:name="_Toc38439986"/>
      <w:bookmarkStart w:id="1670" w:name="_Toc38440323"/>
      <w:bookmarkStart w:id="1671" w:name="_Toc38440656"/>
      <w:bookmarkStart w:id="1672" w:name="_Toc38440855"/>
      <w:bookmarkStart w:id="1673" w:name="_Toc38441187"/>
      <w:bookmarkStart w:id="1674" w:name="_Toc38441519"/>
      <w:bookmarkStart w:id="1675" w:name="_Toc38441847"/>
      <w:bookmarkStart w:id="1676" w:name="_Toc38442179"/>
      <w:bookmarkStart w:id="1677" w:name="_Toc38442511"/>
      <w:bookmarkStart w:id="1678" w:name="_Toc38442842"/>
      <w:bookmarkStart w:id="1679" w:name="_Toc38443173"/>
      <w:bookmarkStart w:id="1680" w:name="_Toc38443504"/>
      <w:bookmarkStart w:id="1681" w:name="_Toc38443835"/>
      <w:bookmarkStart w:id="1682" w:name="_Toc38438302"/>
      <w:bookmarkStart w:id="1683" w:name="_Toc38438639"/>
      <w:bookmarkStart w:id="1684" w:name="_Toc38438976"/>
      <w:bookmarkStart w:id="1685" w:name="_Toc38439313"/>
      <w:bookmarkStart w:id="1686" w:name="_Toc38439650"/>
      <w:bookmarkStart w:id="1687" w:name="_Toc38439987"/>
      <w:bookmarkStart w:id="1688" w:name="_Toc38440324"/>
      <w:bookmarkStart w:id="1689" w:name="_Toc38440657"/>
      <w:bookmarkStart w:id="1690" w:name="_Toc38440856"/>
      <w:bookmarkStart w:id="1691" w:name="_Toc38441188"/>
      <w:bookmarkStart w:id="1692" w:name="_Toc38441520"/>
      <w:bookmarkStart w:id="1693" w:name="_Toc38441848"/>
      <w:bookmarkStart w:id="1694" w:name="_Toc38442180"/>
      <w:bookmarkStart w:id="1695" w:name="_Toc38442512"/>
      <w:bookmarkStart w:id="1696" w:name="_Toc38442843"/>
      <w:bookmarkStart w:id="1697" w:name="_Toc38443174"/>
      <w:bookmarkStart w:id="1698" w:name="_Toc38443505"/>
      <w:bookmarkStart w:id="1699" w:name="_Toc38443836"/>
      <w:bookmarkStart w:id="1700" w:name="_Toc38438303"/>
      <w:bookmarkStart w:id="1701" w:name="_Toc38438640"/>
      <w:bookmarkStart w:id="1702" w:name="_Toc38438977"/>
      <w:bookmarkStart w:id="1703" w:name="_Toc38439314"/>
      <w:bookmarkStart w:id="1704" w:name="_Toc38439651"/>
      <w:bookmarkStart w:id="1705" w:name="_Toc38439988"/>
      <w:bookmarkStart w:id="1706" w:name="_Toc38440325"/>
      <w:bookmarkStart w:id="1707" w:name="_Toc38440658"/>
      <w:bookmarkStart w:id="1708" w:name="_Toc38440857"/>
      <w:bookmarkStart w:id="1709" w:name="_Toc38441189"/>
      <w:bookmarkStart w:id="1710" w:name="_Toc38441521"/>
      <w:bookmarkStart w:id="1711" w:name="_Toc38441849"/>
      <w:bookmarkStart w:id="1712" w:name="_Toc38442181"/>
      <w:bookmarkStart w:id="1713" w:name="_Toc38442513"/>
      <w:bookmarkStart w:id="1714" w:name="_Toc38442844"/>
      <w:bookmarkStart w:id="1715" w:name="_Toc38443175"/>
      <w:bookmarkStart w:id="1716" w:name="_Toc38443506"/>
      <w:bookmarkStart w:id="1717" w:name="_Toc38443837"/>
      <w:bookmarkStart w:id="1718" w:name="_Toc38438304"/>
      <w:bookmarkStart w:id="1719" w:name="_Toc38438641"/>
      <w:bookmarkStart w:id="1720" w:name="_Toc38438978"/>
      <w:bookmarkStart w:id="1721" w:name="_Toc38439315"/>
      <w:bookmarkStart w:id="1722" w:name="_Toc38439652"/>
      <w:bookmarkStart w:id="1723" w:name="_Toc38439989"/>
      <w:bookmarkStart w:id="1724" w:name="_Toc38440326"/>
      <w:bookmarkStart w:id="1725" w:name="_Toc38440659"/>
      <w:bookmarkStart w:id="1726" w:name="_Toc38440858"/>
      <w:bookmarkStart w:id="1727" w:name="_Toc38441190"/>
      <w:bookmarkStart w:id="1728" w:name="_Toc38441522"/>
      <w:bookmarkStart w:id="1729" w:name="_Toc38441850"/>
      <w:bookmarkStart w:id="1730" w:name="_Toc38442182"/>
      <w:bookmarkStart w:id="1731" w:name="_Toc38442514"/>
      <w:bookmarkStart w:id="1732" w:name="_Toc38442845"/>
      <w:bookmarkStart w:id="1733" w:name="_Toc38443176"/>
      <w:bookmarkStart w:id="1734" w:name="_Toc38443507"/>
      <w:bookmarkStart w:id="1735" w:name="_Toc38443838"/>
      <w:bookmarkStart w:id="1736" w:name="_Toc38438305"/>
      <w:bookmarkStart w:id="1737" w:name="_Toc38438642"/>
      <w:bookmarkStart w:id="1738" w:name="_Toc38438979"/>
      <w:bookmarkStart w:id="1739" w:name="_Toc38439316"/>
      <w:bookmarkStart w:id="1740" w:name="_Toc38439653"/>
      <w:bookmarkStart w:id="1741" w:name="_Toc38439990"/>
      <w:bookmarkStart w:id="1742" w:name="_Toc38440327"/>
      <w:bookmarkStart w:id="1743" w:name="_Toc38440660"/>
      <w:bookmarkStart w:id="1744" w:name="_Toc38440859"/>
      <w:bookmarkStart w:id="1745" w:name="_Toc38441191"/>
      <w:bookmarkStart w:id="1746" w:name="_Toc38441523"/>
      <w:bookmarkStart w:id="1747" w:name="_Toc38441851"/>
      <w:bookmarkStart w:id="1748" w:name="_Toc38442183"/>
      <w:bookmarkStart w:id="1749" w:name="_Toc38442515"/>
      <w:bookmarkStart w:id="1750" w:name="_Toc38442846"/>
      <w:bookmarkStart w:id="1751" w:name="_Toc38443177"/>
      <w:bookmarkStart w:id="1752" w:name="_Toc38443508"/>
      <w:bookmarkStart w:id="1753" w:name="_Toc38443839"/>
      <w:bookmarkStart w:id="1754" w:name="_Toc38438306"/>
      <w:bookmarkStart w:id="1755" w:name="_Toc38438643"/>
      <w:bookmarkStart w:id="1756" w:name="_Toc38438980"/>
      <w:bookmarkStart w:id="1757" w:name="_Toc38439317"/>
      <w:bookmarkStart w:id="1758" w:name="_Toc38439654"/>
      <w:bookmarkStart w:id="1759" w:name="_Toc38439991"/>
      <w:bookmarkStart w:id="1760" w:name="_Toc38440328"/>
      <w:bookmarkStart w:id="1761" w:name="_Toc38440661"/>
      <w:bookmarkStart w:id="1762" w:name="_Toc38440860"/>
      <w:bookmarkStart w:id="1763" w:name="_Toc38441192"/>
      <w:bookmarkStart w:id="1764" w:name="_Toc38441524"/>
      <w:bookmarkStart w:id="1765" w:name="_Toc38441852"/>
      <w:bookmarkStart w:id="1766" w:name="_Toc38442184"/>
      <w:bookmarkStart w:id="1767" w:name="_Toc38442516"/>
      <w:bookmarkStart w:id="1768" w:name="_Toc38442847"/>
      <w:bookmarkStart w:id="1769" w:name="_Toc38443178"/>
      <w:bookmarkStart w:id="1770" w:name="_Toc38443509"/>
      <w:bookmarkStart w:id="1771" w:name="_Toc38443840"/>
      <w:bookmarkStart w:id="1772" w:name="_Toc38438310"/>
      <w:bookmarkStart w:id="1773" w:name="_Toc38438647"/>
      <w:bookmarkStart w:id="1774" w:name="_Toc38438984"/>
      <w:bookmarkStart w:id="1775" w:name="_Toc38439321"/>
      <w:bookmarkStart w:id="1776" w:name="_Toc38439658"/>
      <w:bookmarkStart w:id="1777" w:name="_Toc38439995"/>
      <w:bookmarkStart w:id="1778" w:name="_Toc38440332"/>
      <w:bookmarkStart w:id="1779" w:name="_Toc38440665"/>
      <w:bookmarkStart w:id="1780" w:name="_Toc38440864"/>
      <w:bookmarkStart w:id="1781" w:name="_Toc38441196"/>
      <w:bookmarkStart w:id="1782" w:name="_Toc38441528"/>
      <w:bookmarkStart w:id="1783" w:name="_Toc38441856"/>
      <w:bookmarkStart w:id="1784" w:name="_Toc38442188"/>
      <w:bookmarkStart w:id="1785" w:name="_Toc38442520"/>
      <w:bookmarkStart w:id="1786" w:name="_Toc38442851"/>
      <w:bookmarkStart w:id="1787" w:name="_Toc38443182"/>
      <w:bookmarkStart w:id="1788" w:name="_Toc38443513"/>
      <w:bookmarkStart w:id="1789" w:name="_Toc38443844"/>
      <w:bookmarkStart w:id="1790" w:name="_Toc38438311"/>
      <w:bookmarkStart w:id="1791" w:name="_Toc38438648"/>
      <w:bookmarkStart w:id="1792" w:name="_Toc38438985"/>
      <w:bookmarkStart w:id="1793" w:name="_Toc38439322"/>
      <w:bookmarkStart w:id="1794" w:name="_Toc38439659"/>
      <w:bookmarkStart w:id="1795" w:name="_Toc38439996"/>
      <w:bookmarkStart w:id="1796" w:name="_Toc38440333"/>
      <w:bookmarkStart w:id="1797" w:name="_Toc38440666"/>
      <w:bookmarkStart w:id="1798" w:name="_Toc38440865"/>
      <w:bookmarkStart w:id="1799" w:name="_Toc38441197"/>
      <w:bookmarkStart w:id="1800" w:name="_Toc38441529"/>
      <w:bookmarkStart w:id="1801" w:name="_Toc38441857"/>
      <w:bookmarkStart w:id="1802" w:name="_Toc38442189"/>
      <w:bookmarkStart w:id="1803" w:name="_Toc38442521"/>
      <w:bookmarkStart w:id="1804" w:name="_Toc38442852"/>
      <w:bookmarkStart w:id="1805" w:name="_Toc38443183"/>
      <w:bookmarkStart w:id="1806" w:name="_Toc38443514"/>
      <w:bookmarkStart w:id="1807" w:name="_Toc38443845"/>
      <w:bookmarkStart w:id="1808" w:name="_Toc38438312"/>
      <w:bookmarkStart w:id="1809" w:name="_Toc38438649"/>
      <w:bookmarkStart w:id="1810" w:name="_Toc38438986"/>
      <w:bookmarkStart w:id="1811" w:name="_Toc38439323"/>
      <w:bookmarkStart w:id="1812" w:name="_Toc38439660"/>
      <w:bookmarkStart w:id="1813" w:name="_Toc38439997"/>
      <w:bookmarkStart w:id="1814" w:name="_Toc38440334"/>
      <w:bookmarkStart w:id="1815" w:name="_Toc38440667"/>
      <w:bookmarkStart w:id="1816" w:name="_Toc38440866"/>
      <w:bookmarkStart w:id="1817" w:name="_Toc38441198"/>
      <w:bookmarkStart w:id="1818" w:name="_Toc38441530"/>
      <w:bookmarkStart w:id="1819" w:name="_Toc38441858"/>
      <w:bookmarkStart w:id="1820" w:name="_Toc38442190"/>
      <w:bookmarkStart w:id="1821" w:name="_Toc38442522"/>
      <w:bookmarkStart w:id="1822" w:name="_Toc38442853"/>
      <w:bookmarkStart w:id="1823" w:name="_Toc38443184"/>
      <w:bookmarkStart w:id="1824" w:name="_Toc38443515"/>
      <w:bookmarkStart w:id="1825" w:name="_Toc38443846"/>
      <w:bookmarkStart w:id="1826" w:name="_Toc38438313"/>
      <w:bookmarkStart w:id="1827" w:name="_Toc38438650"/>
      <w:bookmarkStart w:id="1828" w:name="_Toc38438987"/>
      <w:bookmarkStart w:id="1829" w:name="_Toc38439324"/>
      <w:bookmarkStart w:id="1830" w:name="_Toc38439661"/>
      <w:bookmarkStart w:id="1831" w:name="_Toc38439998"/>
      <w:bookmarkStart w:id="1832" w:name="_Toc38440335"/>
      <w:bookmarkStart w:id="1833" w:name="_Toc38440668"/>
      <w:bookmarkStart w:id="1834" w:name="_Toc38440867"/>
      <w:bookmarkStart w:id="1835" w:name="_Toc38441199"/>
      <w:bookmarkStart w:id="1836" w:name="_Toc38441531"/>
      <w:bookmarkStart w:id="1837" w:name="_Toc38441859"/>
      <w:bookmarkStart w:id="1838" w:name="_Toc38442191"/>
      <w:bookmarkStart w:id="1839" w:name="_Toc38442523"/>
      <w:bookmarkStart w:id="1840" w:name="_Toc38442854"/>
      <w:bookmarkStart w:id="1841" w:name="_Toc38443185"/>
      <w:bookmarkStart w:id="1842" w:name="_Toc38443516"/>
      <w:bookmarkStart w:id="1843" w:name="_Toc38443847"/>
      <w:bookmarkStart w:id="1844" w:name="_Toc38438314"/>
      <w:bookmarkStart w:id="1845" w:name="_Toc38438651"/>
      <w:bookmarkStart w:id="1846" w:name="_Toc38438988"/>
      <w:bookmarkStart w:id="1847" w:name="_Toc38439325"/>
      <w:bookmarkStart w:id="1848" w:name="_Toc38439662"/>
      <w:bookmarkStart w:id="1849" w:name="_Toc38439999"/>
      <w:bookmarkStart w:id="1850" w:name="_Toc38440336"/>
      <w:bookmarkStart w:id="1851" w:name="_Toc38440669"/>
      <w:bookmarkStart w:id="1852" w:name="_Toc38440868"/>
      <w:bookmarkStart w:id="1853" w:name="_Toc38441200"/>
      <w:bookmarkStart w:id="1854" w:name="_Toc38441532"/>
      <w:bookmarkStart w:id="1855" w:name="_Toc38441860"/>
      <w:bookmarkStart w:id="1856" w:name="_Toc38442192"/>
      <w:bookmarkStart w:id="1857" w:name="_Toc38442524"/>
      <w:bookmarkStart w:id="1858" w:name="_Toc38442855"/>
      <w:bookmarkStart w:id="1859" w:name="_Toc38443186"/>
      <w:bookmarkStart w:id="1860" w:name="_Toc38443517"/>
      <w:bookmarkStart w:id="1861" w:name="_Toc38443848"/>
      <w:bookmarkStart w:id="1862" w:name="_Toc38438315"/>
      <w:bookmarkStart w:id="1863" w:name="_Toc38438652"/>
      <w:bookmarkStart w:id="1864" w:name="_Toc38438989"/>
      <w:bookmarkStart w:id="1865" w:name="_Toc38439326"/>
      <w:bookmarkStart w:id="1866" w:name="_Toc38439663"/>
      <w:bookmarkStart w:id="1867" w:name="_Toc38440000"/>
      <w:bookmarkStart w:id="1868" w:name="_Toc38440337"/>
      <w:bookmarkStart w:id="1869" w:name="_Toc38440670"/>
      <w:bookmarkStart w:id="1870" w:name="_Toc38440869"/>
      <w:bookmarkStart w:id="1871" w:name="_Toc38441201"/>
      <w:bookmarkStart w:id="1872" w:name="_Toc38441533"/>
      <w:bookmarkStart w:id="1873" w:name="_Toc38441861"/>
      <w:bookmarkStart w:id="1874" w:name="_Toc38442193"/>
      <w:bookmarkStart w:id="1875" w:name="_Toc38442525"/>
      <w:bookmarkStart w:id="1876" w:name="_Toc38442856"/>
      <w:bookmarkStart w:id="1877" w:name="_Toc38443187"/>
      <w:bookmarkStart w:id="1878" w:name="_Toc38443518"/>
      <w:bookmarkStart w:id="1879" w:name="_Toc38443849"/>
      <w:bookmarkStart w:id="1880" w:name="_Toc38438316"/>
      <w:bookmarkStart w:id="1881" w:name="_Toc38438653"/>
      <w:bookmarkStart w:id="1882" w:name="_Toc38438990"/>
      <w:bookmarkStart w:id="1883" w:name="_Toc38439327"/>
      <w:bookmarkStart w:id="1884" w:name="_Toc38439664"/>
      <w:bookmarkStart w:id="1885" w:name="_Toc38440001"/>
      <w:bookmarkStart w:id="1886" w:name="_Toc38440338"/>
      <w:bookmarkStart w:id="1887" w:name="_Toc38440671"/>
      <w:bookmarkStart w:id="1888" w:name="_Toc38440870"/>
      <w:bookmarkStart w:id="1889" w:name="_Toc38441202"/>
      <w:bookmarkStart w:id="1890" w:name="_Toc38441534"/>
      <w:bookmarkStart w:id="1891" w:name="_Toc38441862"/>
      <w:bookmarkStart w:id="1892" w:name="_Toc38442194"/>
      <w:bookmarkStart w:id="1893" w:name="_Toc38442526"/>
      <w:bookmarkStart w:id="1894" w:name="_Toc38442857"/>
      <w:bookmarkStart w:id="1895" w:name="_Toc38443188"/>
      <w:bookmarkStart w:id="1896" w:name="_Toc38443519"/>
      <w:bookmarkStart w:id="1897" w:name="_Toc38443850"/>
      <w:bookmarkStart w:id="1898" w:name="_Toc38438317"/>
      <w:bookmarkStart w:id="1899" w:name="_Toc38438654"/>
      <w:bookmarkStart w:id="1900" w:name="_Toc38438991"/>
      <w:bookmarkStart w:id="1901" w:name="_Toc38439328"/>
      <w:bookmarkStart w:id="1902" w:name="_Toc38439665"/>
      <w:bookmarkStart w:id="1903" w:name="_Toc38440002"/>
      <w:bookmarkStart w:id="1904" w:name="_Toc38440339"/>
      <w:bookmarkStart w:id="1905" w:name="_Toc38440672"/>
      <w:bookmarkStart w:id="1906" w:name="_Toc38440871"/>
      <w:bookmarkStart w:id="1907" w:name="_Toc38441203"/>
      <w:bookmarkStart w:id="1908" w:name="_Toc38441535"/>
      <w:bookmarkStart w:id="1909" w:name="_Toc38441863"/>
      <w:bookmarkStart w:id="1910" w:name="_Toc38442195"/>
      <w:bookmarkStart w:id="1911" w:name="_Toc38442527"/>
      <w:bookmarkStart w:id="1912" w:name="_Toc38442858"/>
      <w:bookmarkStart w:id="1913" w:name="_Toc38443189"/>
      <w:bookmarkStart w:id="1914" w:name="_Toc38443520"/>
      <w:bookmarkStart w:id="1915" w:name="_Toc38443851"/>
      <w:bookmarkStart w:id="1916" w:name="_Toc38438318"/>
      <w:bookmarkStart w:id="1917" w:name="_Toc38438655"/>
      <w:bookmarkStart w:id="1918" w:name="_Toc38438992"/>
      <w:bookmarkStart w:id="1919" w:name="_Toc38439329"/>
      <w:bookmarkStart w:id="1920" w:name="_Toc38439666"/>
      <w:bookmarkStart w:id="1921" w:name="_Toc38440003"/>
      <w:bookmarkStart w:id="1922" w:name="_Toc38440340"/>
      <w:bookmarkStart w:id="1923" w:name="_Toc38440673"/>
      <w:bookmarkStart w:id="1924" w:name="_Toc38440872"/>
      <w:bookmarkStart w:id="1925" w:name="_Toc38441204"/>
      <w:bookmarkStart w:id="1926" w:name="_Toc38441536"/>
      <w:bookmarkStart w:id="1927" w:name="_Toc38441864"/>
      <w:bookmarkStart w:id="1928" w:name="_Toc38442196"/>
      <w:bookmarkStart w:id="1929" w:name="_Toc38442528"/>
      <w:bookmarkStart w:id="1930" w:name="_Toc38442859"/>
      <w:bookmarkStart w:id="1931" w:name="_Toc38443190"/>
      <w:bookmarkStart w:id="1932" w:name="_Toc38443521"/>
      <w:bookmarkStart w:id="1933" w:name="_Toc38443852"/>
      <w:bookmarkStart w:id="1934" w:name="_Toc38438319"/>
      <w:bookmarkStart w:id="1935" w:name="_Toc38438656"/>
      <w:bookmarkStart w:id="1936" w:name="_Toc38438993"/>
      <w:bookmarkStart w:id="1937" w:name="_Toc38439330"/>
      <w:bookmarkStart w:id="1938" w:name="_Toc38439667"/>
      <w:bookmarkStart w:id="1939" w:name="_Toc38440004"/>
      <w:bookmarkStart w:id="1940" w:name="_Toc38440341"/>
      <w:bookmarkStart w:id="1941" w:name="_Toc38440674"/>
      <w:bookmarkStart w:id="1942" w:name="_Toc38440873"/>
      <w:bookmarkStart w:id="1943" w:name="_Toc38441205"/>
      <w:bookmarkStart w:id="1944" w:name="_Toc38441537"/>
      <w:bookmarkStart w:id="1945" w:name="_Toc38441865"/>
      <w:bookmarkStart w:id="1946" w:name="_Toc38442197"/>
      <w:bookmarkStart w:id="1947" w:name="_Toc38442529"/>
      <w:bookmarkStart w:id="1948" w:name="_Toc38442860"/>
      <w:bookmarkStart w:id="1949" w:name="_Toc38443191"/>
      <w:bookmarkStart w:id="1950" w:name="_Toc38443522"/>
      <w:bookmarkStart w:id="1951" w:name="_Toc38443853"/>
      <w:bookmarkStart w:id="1952" w:name="_Toc38438320"/>
      <w:bookmarkStart w:id="1953" w:name="_Toc38438657"/>
      <w:bookmarkStart w:id="1954" w:name="_Toc38438994"/>
      <w:bookmarkStart w:id="1955" w:name="_Toc38439331"/>
      <w:bookmarkStart w:id="1956" w:name="_Toc38439668"/>
      <w:bookmarkStart w:id="1957" w:name="_Toc38440005"/>
      <w:bookmarkStart w:id="1958" w:name="_Toc38440342"/>
      <w:bookmarkStart w:id="1959" w:name="_Toc38440675"/>
      <w:bookmarkStart w:id="1960" w:name="_Toc38440874"/>
      <w:bookmarkStart w:id="1961" w:name="_Toc38441206"/>
      <w:bookmarkStart w:id="1962" w:name="_Toc38441538"/>
      <w:bookmarkStart w:id="1963" w:name="_Toc38441866"/>
      <w:bookmarkStart w:id="1964" w:name="_Toc38442198"/>
      <w:bookmarkStart w:id="1965" w:name="_Toc38442530"/>
      <w:bookmarkStart w:id="1966" w:name="_Toc38442861"/>
      <w:bookmarkStart w:id="1967" w:name="_Toc38443192"/>
      <w:bookmarkStart w:id="1968" w:name="_Toc38443523"/>
      <w:bookmarkStart w:id="1969" w:name="_Toc38443854"/>
      <w:bookmarkStart w:id="1970" w:name="_Toc38438321"/>
      <w:bookmarkStart w:id="1971" w:name="_Toc38438658"/>
      <w:bookmarkStart w:id="1972" w:name="_Toc38438995"/>
      <w:bookmarkStart w:id="1973" w:name="_Toc38439332"/>
      <w:bookmarkStart w:id="1974" w:name="_Toc38439669"/>
      <w:bookmarkStart w:id="1975" w:name="_Toc38440006"/>
      <w:bookmarkStart w:id="1976" w:name="_Toc38440343"/>
      <w:bookmarkStart w:id="1977" w:name="_Toc38440676"/>
      <w:bookmarkStart w:id="1978" w:name="_Toc38440875"/>
      <w:bookmarkStart w:id="1979" w:name="_Toc38441207"/>
      <w:bookmarkStart w:id="1980" w:name="_Toc38441539"/>
      <w:bookmarkStart w:id="1981" w:name="_Toc38441867"/>
      <w:bookmarkStart w:id="1982" w:name="_Toc38442199"/>
      <w:bookmarkStart w:id="1983" w:name="_Toc38442531"/>
      <w:bookmarkStart w:id="1984" w:name="_Toc38442862"/>
      <w:bookmarkStart w:id="1985" w:name="_Toc38443193"/>
      <w:bookmarkStart w:id="1986" w:name="_Toc38443524"/>
      <w:bookmarkStart w:id="1987" w:name="_Toc38443855"/>
      <w:bookmarkStart w:id="1988" w:name="_Toc38438322"/>
      <w:bookmarkStart w:id="1989" w:name="_Toc38438659"/>
      <w:bookmarkStart w:id="1990" w:name="_Toc38438996"/>
      <w:bookmarkStart w:id="1991" w:name="_Toc38439333"/>
      <w:bookmarkStart w:id="1992" w:name="_Toc38439670"/>
      <w:bookmarkStart w:id="1993" w:name="_Toc38440007"/>
      <w:bookmarkStart w:id="1994" w:name="_Toc38440344"/>
      <w:bookmarkStart w:id="1995" w:name="_Toc38440677"/>
      <w:bookmarkStart w:id="1996" w:name="_Toc38440876"/>
      <w:bookmarkStart w:id="1997" w:name="_Toc38441208"/>
      <w:bookmarkStart w:id="1998" w:name="_Toc38441540"/>
      <w:bookmarkStart w:id="1999" w:name="_Toc38441868"/>
      <w:bookmarkStart w:id="2000" w:name="_Toc38442200"/>
      <w:bookmarkStart w:id="2001" w:name="_Toc38442532"/>
      <w:bookmarkStart w:id="2002" w:name="_Toc38442863"/>
      <w:bookmarkStart w:id="2003" w:name="_Toc38443194"/>
      <w:bookmarkStart w:id="2004" w:name="_Toc38443525"/>
      <w:bookmarkStart w:id="2005" w:name="_Toc38443856"/>
      <w:bookmarkStart w:id="2006" w:name="_Toc38438323"/>
      <w:bookmarkStart w:id="2007" w:name="_Toc38438660"/>
      <w:bookmarkStart w:id="2008" w:name="_Toc38438997"/>
      <w:bookmarkStart w:id="2009" w:name="_Toc38439334"/>
      <w:bookmarkStart w:id="2010" w:name="_Toc38439671"/>
      <w:bookmarkStart w:id="2011" w:name="_Toc38440008"/>
      <w:bookmarkStart w:id="2012" w:name="_Toc38440345"/>
      <w:bookmarkStart w:id="2013" w:name="_Toc38440678"/>
      <w:bookmarkStart w:id="2014" w:name="_Toc38440877"/>
      <w:bookmarkStart w:id="2015" w:name="_Toc38441209"/>
      <w:bookmarkStart w:id="2016" w:name="_Toc38441541"/>
      <w:bookmarkStart w:id="2017" w:name="_Toc38441869"/>
      <w:bookmarkStart w:id="2018" w:name="_Toc38442201"/>
      <w:bookmarkStart w:id="2019" w:name="_Toc38442533"/>
      <w:bookmarkStart w:id="2020" w:name="_Toc38442864"/>
      <w:bookmarkStart w:id="2021" w:name="_Toc38443195"/>
      <w:bookmarkStart w:id="2022" w:name="_Toc38443526"/>
      <w:bookmarkStart w:id="2023" w:name="_Toc38443857"/>
      <w:bookmarkStart w:id="2024" w:name="_Toc38438324"/>
      <w:bookmarkStart w:id="2025" w:name="_Toc38438661"/>
      <w:bookmarkStart w:id="2026" w:name="_Toc38438998"/>
      <w:bookmarkStart w:id="2027" w:name="_Toc38439335"/>
      <w:bookmarkStart w:id="2028" w:name="_Toc38439672"/>
      <w:bookmarkStart w:id="2029" w:name="_Toc38440009"/>
      <w:bookmarkStart w:id="2030" w:name="_Toc38440346"/>
      <w:bookmarkStart w:id="2031" w:name="_Toc38440679"/>
      <w:bookmarkStart w:id="2032" w:name="_Toc38440878"/>
      <w:bookmarkStart w:id="2033" w:name="_Toc38441210"/>
      <w:bookmarkStart w:id="2034" w:name="_Toc38441542"/>
      <w:bookmarkStart w:id="2035" w:name="_Toc38441870"/>
      <w:bookmarkStart w:id="2036" w:name="_Toc38442202"/>
      <w:bookmarkStart w:id="2037" w:name="_Toc38442534"/>
      <w:bookmarkStart w:id="2038" w:name="_Toc38442865"/>
      <w:bookmarkStart w:id="2039" w:name="_Toc38443196"/>
      <w:bookmarkStart w:id="2040" w:name="_Toc38443527"/>
      <w:bookmarkStart w:id="2041" w:name="_Toc38443858"/>
      <w:bookmarkStart w:id="2042" w:name="_Toc38438325"/>
      <w:bookmarkStart w:id="2043" w:name="_Toc38438662"/>
      <w:bookmarkStart w:id="2044" w:name="_Toc38438999"/>
      <w:bookmarkStart w:id="2045" w:name="_Toc38439336"/>
      <w:bookmarkStart w:id="2046" w:name="_Toc38439673"/>
      <w:bookmarkStart w:id="2047" w:name="_Toc38440010"/>
      <w:bookmarkStart w:id="2048" w:name="_Toc38440347"/>
      <w:bookmarkStart w:id="2049" w:name="_Toc38440879"/>
      <w:bookmarkStart w:id="2050" w:name="_Toc38441211"/>
      <w:bookmarkStart w:id="2051" w:name="_Toc38441543"/>
      <w:bookmarkStart w:id="2052" w:name="_Toc38441871"/>
      <w:bookmarkStart w:id="2053" w:name="_Toc38442203"/>
      <w:bookmarkStart w:id="2054" w:name="_Toc38442535"/>
      <w:bookmarkStart w:id="2055" w:name="_Toc38442866"/>
      <w:bookmarkStart w:id="2056" w:name="_Toc38443197"/>
      <w:bookmarkStart w:id="2057" w:name="_Toc38443528"/>
      <w:bookmarkStart w:id="2058" w:name="_Toc38443859"/>
      <w:bookmarkStart w:id="2059" w:name="_Toc38438326"/>
      <w:bookmarkStart w:id="2060" w:name="_Toc38438663"/>
      <w:bookmarkStart w:id="2061" w:name="_Toc38439000"/>
      <w:bookmarkStart w:id="2062" w:name="_Toc38439337"/>
      <w:bookmarkStart w:id="2063" w:name="_Toc38439674"/>
      <w:bookmarkStart w:id="2064" w:name="_Toc38440011"/>
      <w:bookmarkStart w:id="2065" w:name="_Toc38440348"/>
      <w:bookmarkStart w:id="2066" w:name="_Toc38440880"/>
      <w:bookmarkStart w:id="2067" w:name="_Toc38441212"/>
      <w:bookmarkStart w:id="2068" w:name="_Toc38441544"/>
      <w:bookmarkStart w:id="2069" w:name="_Toc38441872"/>
      <w:bookmarkStart w:id="2070" w:name="_Toc38442204"/>
      <w:bookmarkStart w:id="2071" w:name="_Toc38442536"/>
      <w:bookmarkStart w:id="2072" w:name="_Toc38442867"/>
      <w:bookmarkStart w:id="2073" w:name="_Toc38443198"/>
      <w:bookmarkStart w:id="2074" w:name="_Toc38443529"/>
      <w:bookmarkStart w:id="2075" w:name="_Toc38443860"/>
      <w:bookmarkStart w:id="2076" w:name="_Toc38438327"/>
      <w:bookmarkStart w:id="2077" w:name="_Toc38438664"/>
      <w:bookmarkStart w:id="2078" w:name="_Toc38439001"/>
      <w:bookmarkStart w:id="2079" w:name="_Toc38439338"/>
      <w:bookmarkStart w:id="2080" w:name="_Toc38439675"/>
      <w:bookmarkStart w:id="2081" w:name="_Toc38440012"/>
      <w:bookmarkStart w:id="2082" w:name="_Toc38440349"/>
      <w:bookmarkStart w:id="2083" w:name="_Toc38440881"/>
      <w:bookmarkStart w:id="2084" w:name="_Toc38441213"/>
      <w:bookmarkStart w:id="2085" w:name="_Toc38441545"/>
      <w:bookmarkStart w:id="2086" w:name="_Toc38441873"/>
      <w:bookmarkStart w:id="2087" w:name="_Toc38442205"/>
      <w:bookmarkStart w:id="2088" w:name="_Toc38442537"/>
      <w:bookmarkStart w:id="2089" w:name="_Toc38442868"/>
      <w:bookmarkStart w:id="2090" w:name="_Toc38443199"/>
      <w:bookmarkStart w:id="2091" w:name="_Toc38443530"/>
      <w:bookmarkStart w:id="2092" w:name="_Toc38443861"/>
      <w:bookmarkStart w:id="2093" w:name="_Toc38438328"/>
      <w:bookmarkStart w:id="2094" w:name="_Toc38438665"/>
      <w:bookmarkStart w:id="2095" w:name="_Toc38439002"/>
      <w:bookmarkStart w:id="2096" w:name="_Toc38439339"/>
      <w:bookmarkStart w:id="2097" w:name="_Toc38439676"/>
      <w:bookmarkStart w:id="2098" w:name="_Toc38440013"/>
      <w:bookmarkStart w:id="2099" w:name="_Toc38440350"/>
      <w:bookmarkStart w:id="2100" w:name="_Toc38440882"/>
      <w:bookmarkStart w:id="2101" w:name="_Toc38441214"/>
      <w:bookmarkStart w:id="2102" w:name="_Toc38441546"/>
      <w:bookmarkStart w:id="2103" w:name="_Toc38441874"/>
      <w:bookmarkStart w:id="2104" w:name="_Toc38442206"/>
      <w:bookmarkStart w:id="2105" w:name="_Toc38442538"/>
      <w:bookmarkStart w:id="2106" w:name="_Toc38442869"/>
      <w:bookmarkStart w:id="2107" w:name="_Toc38443200"/>
      <w:bookmarkStart w:id="2108" w:name="_Toc38443531"/>
      <w:bookmarkStart w:id="2109" w:name="_Toc38443862"/>
      <w:bookmarkStart w:id="2110" w:name="_Toc38438329"/>
      <w:bookmarkStart w:id="2111" w:name="_Toc38438666"/>
      <w:bookmarkStart w:id="2112" w:name="_Toc38439003"/>
      <w:bookmarkStart w:id="2113" w:name="_Toc38439340"/>
      <w:bookmarkStart w:id="2114" w:name="_Toc38439677"/>
      <w:bookmarkStart w:id="2115" w:name="_Toc38440014"/>
      <w:bookmarkStart w:id="2116" w:name="_Toc38440351"/>
      <w:bookmarkStart w:id="2117" w:name="_Toc38440883"/>
      <w:bookmarkStart w:id="2118" w:name="_Toc38441215"/>
      <w:bookmarkStart w:id="2119" w:name="_Toc38441547"/>
      <w:bookmarkStart w:id="2120" w:name="_Toc38441875"/>
      <w:bookmarkStart w:id="2121" w:name="_Toc38442207"/>
      <w:bookmarkStart w:id="2122" w:name="_Toc38442539"/>
      <w:bookmarkStart w:id="2123" w:name="_Toc38442870"/>
      <w:bookmarkStart w:id="2124" w:name="_Toc38443201"/>
      <w:bookmarkStart w:id="2125" w:name="_Toc38443532"/>
      <w:bookmarkStart w:id="2126" w:name="_Toc38443863"/>
      <w:bookmarkStart w:id="2127" w:name="_Toc38438330"/>
      <w:bookmarkStart w:id="2128" w:name="_Toc38438667"/>
      <w:bookmarkStart w:id="2129" w:name="_Toc38439004"/>
      <w:bookmarkStart w:id="2130" w:name="_Toc38439341"/>
      <w:bookmarkStart w:id="2131" w:name="_Toc38439678"/>
      <w:bookmarkStart w:id="2132" w:name="_Toc38440015"/>
      <w:bookmarkStart w:id="2133" w:name="_Toc38440352"/>
      <w:bookmarkStart w:id="2134" w:name="_Toc38440884"/>
      <w:bookmarkStart w:id="2135" w:name="_Toc38441216"/>
      <w:bookmarkStart w:id="2136" w:name="_Toc38441548"/>
      <w:bookmarkStart w:id="2137" w:name="_Toc38441876"/>
      <w:bookmarkStart w:id="2138" w:name="_Toc38442208"/>
      <w:bookmarkStart w:id="2139" w:name="_Toc38442540"/>
      <w:bookmarkStart w:id="2140" w:name="_Toc38442871"/>
      <w:bookmarkStart w:id="2141" w:name="_Toc38443202"/>
      <w:bookmarkStart w:id="2142" w:name="_Toc38443533"/>
      <w:bookmarkStart w:id="2143" w:name="_Toc38443864"/>
      <w:bookmarkStart w:id="2144" w:name="_Toc38438331"/>
      <w:bookmarkStart w:id="2145" w:name="_Toc38438668"/>
      <w:bookmarkStart w:id="2146" w:name="_Toc38439005"/>
      <w:bookmarkStart w:id="2147" w:name="_Toc38439342"/>
      <w:bookmarkStart w:id="2148" w:name="_Toc38439679"/>
      <w:bookmarkStart w:id="2149" w:name="_Toc38440016"/>
      <w:bookmarkStart w:id="2150" w:name="_Toc38440353"/>
      <w:bookmarkStart w:id="2151" w:name="_Toc38440885"/>
      <w:bookmarkStart w:id="2152" w:name="_Toc38441217"/>
      <w:bookmarkStart w:id="2153" w:name="_Toc38441549"/>
      <w:bookmarkStart w:id="2154" w:name="_Toc38441877"/>
      <w:bookmarkStart w:id="2155" w:name="_Toc38442209"/>
      <w:bookmarkStart w:id="2156" w:name="_Toc38442541"/>
      <w:bookmarkStart w:id="2157" w:name="_Toc38442872"/>
      <w:bookmarkStart w:id="2158" w:name="_Toc38443203"/>
      <w:bookmarkStart w:id="2159" w:name="_Toc38443534"/>
      <w:bookmarkStart w:id="2160" w:name="_Toc38443865"/>
      <w:bookmarkStart w:id="2161" w:name="_Toc38438332"/>
      <w:bookmarkStart w:id="2162" w:name="_Toc38438669"/>
      <w:bookmarkStart w:id="2163" w:name="_Toc38439006"/>
      <w:bookmarkStart w:id="2164" w:name="_Toc38439343"/>
      <w:bookmarkStart w:id="2165" w:name="_Toc38439680"/>
      <w:bookmarkStart w:id="2166" w:name="_Toc38440017"/>
      <w:bookmarkStart w:id="2167" w:name="_Toc38440354"/>
      <w:bookmarkStart w:id="2168" w:name="_Toc38440886"/>
      <w:bookmarkStart w:id="2169" w:name="_Toc38441218"/>
      <w:bookmarkStart w:id="2170" w:name="_Toc38441550"/>
      <w:bookmarkStart w:id="2171" w:name="_Toc38441878"/>
      <w:bookmarkStart w:id="2172" w:name="_Toc38442210"/>
      <w:bookmarkStart w:id="2173" w:name="_Toc38442542"/>
      <w:bookmarkStart w:id="2174" w:name="_Toc38442873"/>
      <w:bookmarkStart w:id="2175" w:name="_Toc38443204"/>
      <w:bookmarkStart w:id="2176" w:name="_Toc38443535"/>
      <w:bookmarkStart w:id="2177" w:name="_Toc38443866"/>
      <w:bookmarkStart w:id="2178" w:name="_Toc38438333"/>
      <w:bookmarkStart w:id="2179" w:name="_Toc38438670"/>
      <w:bookmarkStart w:id="2180" w:name="_Toc38439007"/>
      <w:bookmarkStart w:id="2181" w:name="_Toc38439344"/>
      <w:bookmarkStart w:id="2182" w:name="_Toc38439681"/>
      <w:bookmarkStart w:id="2183" w:name="_Toc38440018"/>
      <w:bookmarkStart w:id="2184" w:name="_Toc38440355"/>
      <w:bookmarkStart w:id="2185" w:name="_Toc38440887"/>
      <w:bookmarkStart w:id="2186" w:name="_Toc38441219"/>
      <w:bookmarkStart w:id="2187" w:name="_Toc38441551"/>
      <w:bookmarkStart w:id="2188" w:name="_Toc38441879"/>
      <w:bookmarkStart w:id="2189" w:name="_Toc38442211"/>
      <w:bookmarkStart w:id="2190" w:name="_Toc38442543"/>
      <w:bookmarkStart w:id="2191" w:name="_Toc38442874"/>
      <w:bookmarkStart w:id="2192" w:name="_Toc38443205"/>
      <w:bookmarkStart w:id="2193" w:name="_Toc38443536"/>
      <w:bookmarkStart w:id="2194" w:name="_Toc38443867"/>
      <w:bookmarkStart w:id="2195" w:name="_Toc38438334"/>
      <w:bookmarkStart w:id="2196" w:name="_Toc38438671"/>
      <w:bookmarkStart w:id="2197" w:name="_Toc38439008"/>
      <w:bookmarkStart w:id="2198" w:name="_Toc38439345"/>
      <w:bookmarkStart w:id="2199" w:name="_Toc38439682"/>
      <w:bookmarkStart w:id="2200" w:name="_Toc38440019"/>
      <w:bookmarkStart w:id="2201" w:name="_Toc38440356"/>
      <w:bookmarkStart w:id="2202" w:name="_Toc38440888"/>
      <w:bookmarkStart w:id="2203" w:name="_Toc38441220"/>
      <w:bookmarkStart w:id="2204" w:name="_Toc38441552"/>
      <w:bookmarkStart w:id="2205" w:name="_Toc38441880"/>
      <w:bookmarkStart w:id="2206" w:name="_Toc38442212"/>
      <w:bookmarkStart w:id="2207" w:name="_Toc38442544"/>
      <w:bookmarkStart w:id="2208" w:name="_Toc38442875"/>
      <w:bookmarkStart w:id="2209" w:name="_Toc38443206"/>
      <w:bookmarkStart w:id="2210" w:name="_Toc38443537"/>
      <w:bookmarkStart w:id="2211" w:name="_Toc38443868"/>
      <w:bookmarkStart w:id="2212" w:name="_Toc38438335"/>
      <w:bookmarkStart w:id="2213" w:name="_Toc38438672"/>
      <w:bookmarkStart w:id="2214" w:name="_Toc38439009"/>
      <w:bookmarkStart w:id="2215" w:name="_Toc38439346"/>
      <w:bookmarkStart w:id="2216" w:name="_Toc38439683"/>
      <w:bookmarkStart w:id="2217" w:name="_Toc38440020"/>
      <w:bookmarkStart w:id="2218" w:name="_Toc38440357"/>
      <w:bookmarkStart w:id="2219" w:name="_Toc38440889"/>
      <w:bookmarkStart w:id="2220" w:name="_Toc38441221"/>
      <w:bookmarkStart w:id="2221" w:name="_Toc38441553"/>
      <w:bookmarkStart w:id="2222" w:name="_Toc38441881"/>
      <w:bookmarkStart w:id="2223" w:name="_Toc38442213"/>
      <w:bookmarkStart w:id="2224" w:name="_Toc38442545"/>
      <w:bookmarkStart w:id="2225" w:name="_Toc38442876"/>
      <w:bookmarkStart w:id="2226" w:name="_Toc38443207"/>
      <w:bookmarkStart w:id="2227" w:name="_Toc38443538"/>
      <w:bookmarkStart w:id="2228" w:name="_Toc38443869"/>
      <w:bookmarkStart w:id="2229" w:name="_Toc38438336"/>
      <w:bookmarkStart w:id="2230" w:name="_Toc38438673"/>
      <w:bookmarkStart w:id="2231" w:name="_Toc38439010"/>
      <w:bookmarkStart w:id="2232" w:name="_Toc38439347"/>
      <w:bookmarkStart w:id="2233" w:name="_Toc38439684"/>
      <w:bookmarkStart w:id="2234" w:name="_Toc38440021"/>
      <w:bookmarkStart w:id="2235" w:name="_Toc38440358"/>
      <w:bookmarkStart w:id="2236" w:name="_Toc38440890"/>
      <w:bookmarkStart w:id="2237" w:name="_Toc38441222"/>
      <w:bookmarkStart w:id="2238" w:name="_Toc38441554"/>
      <w:bookmarkStart w:id="2239" w:name="_Toc38441882"/>
      <w:bookmarkStart w:id="2240" w:name="_Toc38442214"/>
      <w:bookmarkStart w:id="2241" w:name="_Toc38442546"/>
      <w:bookmarkStart w:id="2242" w:name="_Toc38442877"/>
      <w:bookmarkStart w:id="2243" w:name="_Toc38443208"/>
      <w:bookmarkStart w:id="2244" w:name="_Toc38443539"/>
      <w:bookmarkStart w:id="2245" w:name="_Toc38443870"/>
      <w:bookmarkStart w:id="2246" w:name="_Toc38438337"/>
      <w:bookmarkStart w:id="2247" w:name="_Toc38438674"/>
      <w:bookmarkStart w:id="2248" w:name="_Toc38439011"/>
      <w:bookmarkStart w:id="2249" w:name="_Toc38439348"/>
      <w:bookmarkStart w:id="2250" w:name="_Toc38439685"/>
      <w:bookmarkStart w:id="2251" w:name="_Toc38440022"/>
      <w:bookmarkStart w:id="2252" w:name="_Toc38440359"/>
      <w:bookmarkStart w:id="2253" w:name="_Toc38440891"/>
      <w:bookmarkStart w:id="2254" w:name="_Toc38441223"/>
      <w:bookmarkStart w:id="2255" w:name="_Toc38441555"/>
      <w:bookmarkStart w:id="2256" w:name="_Toc38441883"/>
      <w:bookmarkStart w:id="2257" w:name="_Toc38442215"/>
      <w:bookmarkStart w:id="2258" w:name="_Toc38442547"/>
      <w:bookmarkStart w:id="2259" w:name="_Toc38442878"/>
      <w:bookmarkStart w:id="2260" w:name="_Toc38443209"/>
      <w:bookmarkStart w:id="2261" w:name="_Toc38443540"/>
      <w:bookmarkStart w:id="2262" w:name="_Toc38443871"/>
      <w:bookmarkStart w:id="2263" w:name="_Toc38438338"/>
      <w:bookmarkStart w:id="2264" w:name="_Toc38438675"/>
      <w:bookmarkStart w:id="2265" w:name="_Toc38439012"/>
      <w:bookmarkStart w:id="2266" w:name="_Toc38439349"/>
      <w:bookmarkStart w:id="2267" w:name="_Toc38439686"/>
      <w:bookmarkStart w:id="2268" w:name="_Toc38440023"/>
      <w:bookmarkStart w:id="2269" w:name="_Toc38440360"/>
      <w:bookmarkStart w:id="2270" w:name="_Toc38440892"/>
      <w:bookmarkStart w:id="2271" w:name="_Toc38441224"/>
      <w:bookmarkStart w:id="2272" w:name="_Toc38441556"/>
      <w:bookmarkStart w:id="2273" w:name="_Toc38441884"/>
      <w:bookmarkStart w:id="2274" w:name="_Toc38442216"/>
      <w:bookmarkStart w:id="2275" w:name="_Toc38442548"/>
      <w:bookmarkStart w:id="2276" w:name="_Toc38442879"/>
      <w:bookmarkStart w:id="2277" w:name="_Toc38443210"/>
      <w:bookmarkStart w:id="2278" w:name="_Toc38443541"/>
      <w:bookmarkStart w:id="2279" w:name="_Toc38443872"/>
      <w:bookmarkStart w:id="2280" w:name="_Toc38438339"/>
      <w:bookmarkStart w:id="2281" w:name="_Toc38438676"/>
      <w:bookmarkStart w:id="2282" w:name="_Toc38439013"/>
      <w:bookmarkStart w:id="2283" w:name="_Toc38439350"/>
      <w:bookmarkStart w:id="2284" w:name="_Toc38439687"/>
      <w:bookmarkStart w:id="2285" w:name="_Toc38440024"/>
      <w:bookmarkStart w:id="2286" w:name="_Toc38440361"/>
      <w:bookmarkStart w:id="2287" w:name="_Toc38440893"/>
      <w:bookmarkStart w:id="2288" w:name="_Toc38441225"/>
      <w:bookmarkStart w:id="2289" w:name="_Toc38441557"/>
      <w:bookmarkStart w:id="2290" w:name="_Toc38441885"/>
      <w:bookmarkStart w:id="2291" w:name="_Toc38442217"/>
      <w:bookmarkStart w:id="2292" w:name="_Toc38442549"/>
      <w:bookmarkStart w:id="2293" w:name="_Toc38442880"/>
      <w:bookmarkStart w:id="2294" w:name="_Toc38443211"/>
      <w:bookmarkStart w:id="2295" w:name="_Toc38443542"/>
      <w:bookmarkStart w:id="2296" w:name="_Toc38443873"/>
      <w:bookmarkStart w:id="2297" w:name="_Toc38438340"/>
      <w:bookmarkStart w:id="2298" w:name="_Toc38438677"/>
      <w:bookmarkStart w:id="2299" w:name="_Toc38439014"/>
      <w:bookmarkStart w:id="2300" w:name="_Toc38439351"/>
      <w:bookmarkStart w:id="2301" w:name="_Toc38439688"/>
      <w:bookmarkStart w:id="2302" w:name="_Toc38440025"/>
      <w:bookmarkStart w:id="2303" w:name="_Toc38440362"/>
      <w:bookmarkStart w:id="2304" w:name="_Toc38440894"/>
      <w:bookmarkStart w:id="2305" w:name="_Toc38441226"/>
      <w:bookmarkStart w:id="2306" w:name="_Toc38441558"/>
      <w:bookmarkStart w:id="2307" w:name="_Toc38441886"/>
      <w:bookmarkStart w:id="2308" w:name="_Toc38442218"/>
      <w:bookmarkStart w:id="2309" w:name="_Toc38442550"/>
      <w:bookmarkStart w:id="2310" w:name="_Toc38442881"/>
      <w:bookmarkStart w:id="2311" w:name="_Toc38443212"/>
      <w:bookmarkStart w:id="2312" w:name="_Toc38443543"/>
      <w:bookmarkStart w:id="2313" w:name="_Toc38443874"/>
      <w:bookmarkStart w:id="2314" w:name="_Toc38438341"/>
      <w:bookmarkStart w:id="2315" w:name="_Toc38438678"/>
      <w:bookmarkStart w:id="2316" w:name="_Toc38439015"/>
      <w:bookmarkStart w:id="2317" w:name="_Toc38439352"/>
      <w:bookmarkStart w:id="2318" w:name="_Toc38439689"/>
      <w:bookmarkStart w:id="2319" w:name="_Toc38440026"/>
      <w:bookmarkStart w:id="2320" w:name="_Toc38440363"/>
      <w:bookmarkStart w:id="2321" w:name="_Toc38440895"/>
      <w:bookmarkStart w:id="2322" w:name="_Toc38441227"/>
      <w:bookmarkStart w:id="2323" w:name="_Toc38441559"/>
      <w:bookmarkStart w:id="2324" w:name="_Toc38441887"/>
      <w:bookmarkStart w:id="2325" w:name="_Toc38442219"/>
      <w:bookmarkStart w:id="2326" w:name="_Toc38442551"/>
      <w:bookmarkStart w:id="2327" w:name="_Toc38442882"/>
      <w:bookmarkStart w:id="2328" w:name="_Toc38443213"/>
      <w:bookmarkStart w:id="2329" w:name="_Toc38443544"/>
      <w:bookmarkStart w:id="2330" w:name="_Toc38443875"/>
      <w:bookmarkStart w:id="2331" w:name="_Toc38438342"/>
      <w:bookmarkStart w:id="2332" w:name="_Toc38438679"/>
      <w:bookmarkStart w:id="2333" w:name="_Toc38439016"/>
      <w:bookmarkStart w:id="2334" w:name="_Toc38439353"/>
      <w:bookmarkStart w:id="2335" w:name="_Toc38439690"/>
      <w:bookmarkStart w:id="2336" w:name="_Toc38440027"/>
      <w:bookmarkStart w:id="2337" w:name="_Toc38440364"/>
      <w:bookmarkStart w:id="2338" w:name="_Toc38440896"/>
      <w:bookmarkStart w:id="2339" w:name="_Toc38441228"/>
      <w:bookmarkStart w:id="2340" w:name="_Toc38441560"/>
      <w:bookmarkStart w:id="2341" w:name="_Toc38441888"/>
      <w:bookmarkStart w:id="2342" w:name="_Toc38442220"/>
      <w:bookmarkStart w:id="2343" w:name="_Toc38442552"/>
      <w:bookmarkStart w:id="2344" w:name="_Toc38442883"/>
      <w:bookmarkStart w:id="2345" w:name="_Toc38443214"/>
      <w:bookmarkStart w:id="2346" w:name="_Toc38443545"/>
      <w:bookmarkStart w:id="2347" w:name="_Toc38443876"/>
      <w:bookmarkStart w:id="2348" w:name="_Toc38438343"/>
      <w:bookmarkStart w:id="2349" w:name="_Toc38438680"/>
      <w:bookmarkStart w:id="2350" w:name="_Toc38439017"/>
      <w:bookmarkStart w:id="2351" w:name="_Toc38439354"/>
      <w:bookmarkStart w:id="2352" w:name="_Toc38439691"/>
      <w:bookmarkStart w:id="2353" w:name="_Toc38440028"/>
      <w:bookmarkStart w:id="2354" w:name="_Toc38440365"/>
      <w:bookmarkStart w:id="2355" w:name="_Toc38440897"/>
      <w:bookmarkStart w:id="2356" w:name="_Toc38441229"/>
      <w:bookmarkStart w:id="2357" w:name="_Toc38441561"/>
      <w:bookmarkStart w:id="2358" w:name="_Toc38441889"/>
      <w:bookmarkStart w:id="2359" w:name="_Toc38442221"/>
      <w:bookmarkStart w:id="2360" w:name="_Toc38442553"/>
      <w:bookmarkStart w:id="2361" w:name="_Toc38442884"/>
      <w:bookmarkStart w:id="2362" w:name="_Toc38443215"/>
      <w:bookmarkStart w:id="2363" w:name="_Toc38443546"/>
      <w:bookmarkStart w:id="2364" w:name="_Toc38443877"/>
      <w:bookmarkStart w:id="2365" w:name="_Toc20148507"/>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r w:rsidRPr="00487553">
        <w:rPr>
          <w:rFonts w:asciiTheme="minorEastAsia" w:eastAsiaTheme="minorEastAsia" w:hAnsiTheme="minorEastAsia"/>
        </w:rPr>
        <w:lastRenderedPageBreak/>
        <w:t>其他应披露事项</w:t>
      </w:r>
      <w:bookmarkEnd w:id="236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474"/>
      </w:tblGrid>
      <w:tr w:rsidR="0008306D" w:rsidRPr="00487553" w14:paraId="4F522E3E" w14:textId="77777777" w:rsidTr="00B0320A">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hideMark/>
          </w:tcPr>
          <w:p w14:paraId="41F5E218" w14:textId="29099E7E" w:rsidR="006C46FD" w:rsidRPr="00487553" w:rsidRDefault="00BF53B1" w:rsidP="00B01706">
            <w:pPr>
              <w:spacing w:line="360" w:lineRule="auto"/>
              <w:jc w:val="center"/>
              <w:rPr>
                <w:rFonts w:asciiTheme="minorEastAsia" w:eastAsiaTheme="minorEastAsia" w:hAnsiTheme="minorEastAsia"/>
                <w:szCs w:val="21"/>
              </w:rPr>
            </w:pPr>
            <w:r w:rsidRPr="00487553">
              <w:rPr>
                <w:rFonts w:asciiTheme="minorEastAsia" w:eastAsiaTheme="minorEastAsia" w:hAnsiTheme="minorEastAsia" w:hint="eastAsia"/>
                <w:szCs w:val="21"/>
              </w:rPr>
              <w:t>公告事项</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14:paraId="10EF81C5" w14:textId="711213E6" w:rsidR="006C46FD" w:rsidRPr="00487553" w:rsidRDefault="00BF53B1" w:rsidP="00B01706">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披露日期</w:t>
            </w:r>
          </w:p>
        </w:tc>
      </w:tr>
      <w:tr w:rsidR="00487553" w:rsidRPr="00487553" w14:paraId="15D493EB"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CAA973" w14:textId="5D924D5F"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易方达基金管理有限公司关于旗下部分开放式基金增加华夏财富为销售机构、参加华夏财富费率优惠活动的公告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378F8" w14:textId="50AF283A"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2019-02-22</w:t>
            </w:r>
          </w:p>
        </w:tc>
      </w:tr>
      <w:tr w:rsidR="00487553" w:rsidRPr="00487553" w14:paraId="363E7993"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B5F56" w14:textId="6AA7166E"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易方达基金管理有限公司关于旗下部分开放式基金增加四川天府银行为销售机构的公告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2C39" w14:textId="2714603D"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2019-02-28</w:t>
            </w:r>
          </w:p>
        </w:tc>
      </w:tr>
      <w:tr w:rsidR="00487553" w:rsidRPr="00487553" w14:paraId="11C72210"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AC157" w14:textId="53BCDBAD"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易方达基金管理有限公司关于旗下部分开放式基金参加华融湘江银行费率优惠活动的公告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7DE48" w14:textId="0F445BAF"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2019-03-01</w:t>
            </w:r>
          </w:p>
        </w:tc>
      </w:tr>
      <w:tr w:rsidR="00487553" w:rsidRPr="00487553" w14:paraId="742AE981"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2723E" w14:textId="4C7E0843"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易方达基金管理有限公司关于成都分公司营业场所变更的公告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715F" w14:textId="1A0FDB51"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2019-03-13</w:t>
            </w:r>
          </w:p>
        </w:tc>
      </w:tr>
      <w:tr w:rsidR="00487553" w:rsidRPr="00487553" w14:paraId="37B51F91"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CE935" w14:textId="6D5D7842"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易方达基金管理有限公司关于旗下部分开放式基金参加利得基金费率优惠活动的公告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6D18" w14:textId="35DB60E8"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2019-03-13</w:t>
            </w:r>
          </w:p>
        </w:tc>
      </w:tr>
      <w:tr w:rsidR="00487553" w:rsidRPr="00487553" w14:paraId="65BFA750"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8BC3E" w14:textId="3C217188"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易方达基金管理有限公司关于提醒投资者及时提供或更新身份信息资料的公告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A63B4" w14:textId="6A0D52A8"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2019-03-19</w:t>
            </w:r>
          </w:p>
        </w:tc>
      </w:tr>
      <w:tr w:rsidR="00487553" w:rsidRPr="00487553" w14:paraId="1AA1484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28760" w14:textId="1C28F896"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易方达基金管理有限公司关于旗下部分开放式基金增加盈米基金为销售机构的公告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2327" w14:textId="6AD54823"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2019-03-20</w:t>
            </w:r>
          </w:p>
        </w:tc>
      </w:tr>
      <w:tr w:rsidR="00487553" w:rsidRPr="00487553" w14:paraId="78BEF007"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E1BEA" w14:textId="133D6905"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易方达基金管理有限公司关于旗下部分开放式基金参加交通银行手机银行申购及定期定额投资费率优惠活动的公告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1B73A" w14:textId="36114F32"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2019-03-30</w:t>
            </w:r>
          </w:p>
        </w:tc>
      </w:tr>
      <w:tr w:rsidR="00487553" w:rsidRPr="00487553" w14:paraId="768BA5AE"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B3314" w14:textId="511805C2"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易方达基金管理有限公司关于旗下部分开放式基金参加泉州银行费率优惠活动的公告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6DE4" w14:textId="21A1C017"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2019-04-01</w:t>
            </w:r>
          </w:p>
        </w:tc>
      </w:tr>
      <w:tr w:rsidR="00487553" w:rsidRPr="00487553" w14:paraId="12EE4D82"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00CF4" w14:textId="5552F950"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易方达基金管理有限公司关于旗下部分开放式基金参加中国工商银行申购费率优惠活动的公告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DD984" w14:textId="6B334C6C"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2019-04-01</w:t>
            </w:r>
          </w:p>
        </w:tc>
      </w:tr>
      <w:tr w:rsidR="00487553" w:rsidRPr="00487553" w14:paraId="55B485D7"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042AD" w14:textId="302EF77C"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易方达基金管理有限公司关于旗下部分开放式基金参加国盛证券费率优惠活动的公告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C780" w14:textId="14D92B8A"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2019-04-12</w:t>
            </w:r>
          </w:p>
        </w:tc>
      </w:tr>
      <w:tr w:rsidR="00487553" w:rsidRPr="00487553" w14:paraId="45B566DB"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7F6B31" w14:textId="6A67F84A"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易方达基金管理有限公司关于易方达恒生中国企业交易型开放式指数证券投资基金联接基金2019年4月19日至4月22日暂停申购、赎回、定期定额投资业务的公告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E15B" w14:textId="31AD20B3"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2019-04-16</w:t>
            </w:r>
          </w:p>
        </w:tc>
      </w:tr>
      <w:tr w:rsidR="00487553" w:rsidRPr="00487553" w14:paraId="71A770A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7B0B4" w14:textId="59CC497E"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2DEBB" w14:textId="0D2C5825"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2019-04-22</w:t>
            </w:r>
          </w:p>
        </w:tc>
      </w:tr>
      <w:tr w:rsidR="00487553" w:rsidRPr="00487553" w14:paraId="5A8C877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93313" w14:textId="793E3018"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易方达基金管理有限公司关于旗下部分开放式基金参加四川天府银行手机</w:t>
            </w:r>
            <w:r w:rsidRPr="00487553">
              <w:rPr>
                <w:rFonts w:asciiTheme="minorEastAsia" w:eastAsiaTheme="minorEastAsia" w:hAnsiTheme="minorEastAsia" w:hint="eastAsia"/>
                <w:szCs w:val="21"/>
              </w:rPr>
              <w:lastRenderedPageBreak/>
              <w:t>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9353E" w14:textId="61C812CF"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2019-04-30</w:t>
            </w:r>
          </w:p>
        </w:tc>
      </w:tr>
      <w:tr w:rsidR="00487553" w:rsidRPr="00487553" w14:paraId="6AF23E7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557C3" w14:textId="53868669"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易方达基金管理有限公司关于旗下部分开放式基金参加齐商银行费率优惠活动的公告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BFE4" w14:textId="6ADF439B"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2019-05-07</w:t>
            </w:r>
          </w:p>
        </w:tc>
      </w:tr>
      <w:tr w:rsidR="00487553" w:rsidRPr="00487553" w14:paraId="2DE38A6B"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2E3EB" w14:textId="12318CDE"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易方达基金管理有限公司关于易方达恒生中国企业交易型开放式指数证券投资基金联接基金2019年5月13日暂停申购、赎回、定期定额投资业务的公告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B146" w14:textId="11F5E85C"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2019-05-08</w:t>
            </w:r>
          </w:p>
        </w:tc>
      </w:tr>
      <w:tr w:rsidR="00487553" w:rsidRPr="00487553" w14:paraId="42FC42FE"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2095C" w14:textId="0A18D546"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易方达基金管理有限公司关于旗下部分开放式基金参加中国民生银行费率优惠活动的公告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DC3C6" w14:textId="75BA89F6"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2019-05-16</w:t>
            </w:r>
          </w:p>
        </w:tc>
      </w:tr>
      <w:tr w:rsidR="00487553" w:rsidRPr="00487553" w14:paraId="11682DB3"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2EFB9" w14:textId="104B90AA"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易方达基金管理有限公司关于民族证券并入方正证券期间基金业务安排的提示性公告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8A2A" w14:textId="3DF98B9F"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2019-05-22</w:t>
            </w:r>
          </w:p>
        </w:tc>
      </w:tr>
      <w:tr w:rsidR="00487553" w:rsidRPr="00487553" w14:paraId="0C4EF25B"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DE798" w14:textId="296E1FA4"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易方达基金管理有限公司关于旗下部分开放式基金增加重庆银行为销售机构的公告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9B90" w14:textId="00C097FF"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2019-05-24</w:t>
            </w:r>
          </w:p>
        </w:tc>
      </w:tr>
      <w:tr w:rsidR="00487553" w:rsidRPr="00487553" w14:paraId="668F3F37"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43718" w14:textId="7793B4B3"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易方达基金管理有限公司关于提醒网上直销个人投资者及时上传身份证件照片并完善、更新身份信息以免影响日常交易的公告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269BC" w14:textId="78883787"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2019-05-28</w:t>
            </w:r>
          </w:p>
        </w:tc>
      </w:tr>
      <w:tr w:rsidR="00487553" w:rsidRPr="00487553" w14:paraId="566961A0"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90CBB" w14:textId="1CC72F34"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易方达基金管理有限公司关于旗下部分开放式基金增加浙商证券为销售机构的公告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1D0D" w14:textId="206AACCB"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2019-06-06</w:t>
            </w:r>
          </w:p>
        </w:tc>
      </w:tr>
      <w:tr w:rsidR="00487553" w:rsidRPr="00487553" w14:paraId="29C2D80F"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3122A" w14:textId="3773A57D"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易方达基金管理有限公司关于旗下部分开放式基金增加汇成基金为销售机构、参加汇成基金费率优惠活动的公告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CA355" w14:textId="6AA079A9"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2019-06-14</w:t>
            </w:r>
          </w:p>
        </w:tc>
      </w:tr>
      <w:tr w:rsidR="00487553" w:rsidRPr="00487553" w14:paraId="3BC4A611"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78BBF" w14:textId="29682CA6"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易方达基金管理有限公司关于旗下部分开放式基金增加民生证券为销售机构的公告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8DF1F" w14:textId="1C85B77F"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2019-06-20</w:t>
            </w:r>
          </w:p>
        </w:tc>
      </w:tr>
      <w:tr w:rsidR="00487553" w:rsidRPr="00487553" w14:paraId="1772E155"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3B31F" w14:textId="50DD38C9"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易方达基金管理有限公司关于旗下部分开放式基金参加佛山农商银行费率优惠活动的公告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B50AE" w14:textId="51D852F5"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2019-06-21</w:t>
            </w:r>
          </w:p>
        </w:tc>
      </w:tr>
      <w:tr w:rsidR="00487553" w:rsidRPr="00487553" w14:paraId="48FA664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B3440" w14:textId="49518EC0"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易方达基金管理有限公司关于旗下部分开放式基金参加德邦证券费率优惠活动的公告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041D5" w14:textId="58DE4938"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2019-06-24</w:t>
            </w:r>
          </w:p>
        </w:tc>
      </w:tr>
      <w:tr w:rsidR="00487553" w:rsidRPr="00487553" w14:paraId="260DD1A5"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20908" w14:textId="62ABD1A4"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易方达基金管理有限公司关于易方达恒生中国企业交易型开放式指数证券投资基金联接基金2019年7月1日暂停申购、赎回、定期定额投资业务的公告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158F1" w14:textId="74967AC9"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2019-06-26</w:t>
            </w:r>
          </w:p>
        </w:tc>
      </w:tr>
      <w:tr w:rsidR="00487553" w:rsidRPr="00487553" w14:paraId="598CA80E"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07457" w14:textId="4BF154AC"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易方达基金管理有限公司关于旗下部分开放式基金参加长城国瑞证券费率优惠活动的公告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1FCD" w14:textId="044A3ACE"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2019-06-28</w:t>
            </w:r>
          </w:p>
        </w:tc>
      </w:tr>
      <w:tr w:rsidR="00487553" w:rsidRPr="00487553" w14:paraId="6576ABB1"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7FDDA" w14:textId="63ECF1C6"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易方达基金管理有限公司关于旗下部分开放式基金增加蛋卷基金为销售机构、参加蛋卷基金费率优惠活动的公告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242BA" w14:textId="140432B1"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2019-07-08</w:t>
            </w:r>
          </w:p>
        </w:tc>
      </w:tr>
      <w:tr w:rsidR="00487553" w:rsidRPr="00487553" w14:paraId="057F7FC5"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58224" w14:textId="00196A26"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易方达基金管理有限公司关于旗下部分开放式基金增加广发银行为销售机构的公告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E5494" w14:textId="6A09EFF8"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2019-07-10</w:t>
            </w:r>
          </w:p>
        </w:tc>
      </w:tr>
      <w:tr w:rsidR="00487553" w:rsidRPr="00487553" w14:paraId="62638D97"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55F6B" w14:textId="1A47F7D5"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易方达基金管理有限公司关于旗下部分开放式基金参加安信证券定期定额投资费率优惠活动的公告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A3DD8" w14:textId="55FB555C"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2019-07-15</w:t>
            </w:r>
          </w:p>
        </w:tc>
      </w:tr>
      <w:tr w:rsidR="00487553" w:rsidRPr="00487553" w14:paraId="47FAD5C2"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BB917" w14:textId="26067FFE"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易方达基金管理有限公司关于旗下部分开放式基金增加大智慧基金为销售机构的公告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7C07" w14:textId="6268F762"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2019-07-17</w:t>
            </w:r>
          </w:p>
        </w:tc>
      </w:tr>
      <w:tr w:rsidR="00487553" w:rsidRPr="00487553" w14:paraId="3E56DA22"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75CAC" w14:textId="6FE748B5"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易方达基金管理有限公司关于旗下部分开放式基金增加苏宁基金为销售机构、参加苏宁基金费率优惠活动的公告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B3396" w14:textId="16DD4D5B"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2019-07-17</w:t>
            </w:r>
          </w:p>
        </w:tc>
      </w:tr>
      <w:tr w:rsidR="00487553" w:rsidRPr="00487553" w14:paraId="7783E903"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B1F9F" w14:textId="42ED4A70"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易方达基金管理有限公司关于旗下部分开放式基金增加同花顺为销售机构的公告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E55C" w14:textId="244D953D"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2019-07-17</w:t>
            </w:r>
          </w:p>
        </w:tc>
      </w:tr>
      <w:tr w:rsidR="00487553" w:rsidRPr="00487553" w14:paraId="526360F2"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F1C31" w14:textId="4F6303E0"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易方达基金管理有限公司关于旗下部分开放式基金增加陆基金为销售机构的公告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4044" w14:textId="2498837D"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2019-07-22</w:t>
            </w:r>
          </w:p>
        </w:tc>
      </w:tr>
      <w:tr w:rsidR="00487553" w:rsidRPr="00487553" w14:paraId="631261BC"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6F0644C8" w14:textId="1BB91269"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易方达基金管理有限公司关于易方达恒生中国企业交易型开放式指数证券投资基金联接基金2019年7月31日暂停申购、赎回、定期定额投资业务的公告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E89AF2E" w14:textId="68C434B6"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2019-08-01</w:t>
            </w:r>
          </w:p>
        </w:tc>
      </w:tr>
      <w:tr w:rsidR="00487553" w:rsidRPr="00487553" w14:paraId="5A537454"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30D9A727" w14:textId="63BA22DB"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易方达基金管理有限公司关于旗下部分开放式基金参加海通证券费率优惠活动的公告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8EE5584" w14:textId="79984FE3"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2019-08-12</w:t>
            </w:r>
          </w:p>
        </w:tc>
      </w:tr>
      <w:tr w:rsidR="00487553" w:rsidRPr="00487553" w14:paraId="2C9AADFF"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2CC5EA6F" w14:textId="331999FF"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易方达基金管理有限公司关于旗下部分开放式基金参加销售机构申购费率优惠活动的公告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FBF6536" w14:textId="4079A0F5"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2019-08-13</w:t>
            </w:r>
          </w:p>
        </w:tc>
      </w:tr>
      <w:tr w:rsidR="00487553" w:rsidRPr="00487553" w14:paraId="65DC86E9"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62750F1C" w14:textId="0197ABA2"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易方达基金管理有限公司关于暂停北京中期时代基金销售有限公司办理旗下基金相关销售业务的公告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FD1920B" w14:textId="78B890E7"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2019-08-13</w:t>
            </w:r>
          </w:p>
        </w:tc>
      </w:tr>
      <w:tr w:rsidR="00487553" w:rsidRPr="00487553" w14:paraId="1DA086C6"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41ECE4DF" w14:textId="114E4EB5"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易方达基金管理有限公司关于暂停北京加和基金销售有限公司办理旗下基金相关销售业务的公告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8152105" w14:textId="0CC47D72"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2019-08-14</w:t>
            </w:r>
          </w:p>
        </w:tc>
      </w:tr>
      <w:tr w:rsidR="00487553" w:rsidRPr="00487553" w14:paraId="532B665F"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314901E5" w14:textId="319AB6A8"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易方达基金管理有限公司关于暂停上海凯石财富基金销售有限公司办理旗下基金相关销售业务的公告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8DA8BA0" w14:textId="1A39ECE5"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2019-08-14</w:t>
            </w:r>
          </w:p>
        </w:tc>
      </w:tr>
      <w:tr w:rsidR="00487553" w:rsidRPr="00487553" w14:paraId="07BCD872"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1AA0F6F2" w14:textId="7B417F9F"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t>易方达基金管理有限公司关于暂停深圳宜投基金销售有限公司办理旗下基金相关销售业务的公告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C2E4FEC" w14:textId="32FB1152"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2019-08-14</w:t>
            </w:r>
          </w:p>
        </w:tc>
      </w:tr>
      <w:tr w:rsidR="00487553" w:rsidRPr="00487553" w14:paraId="040A3DA1" w14:textId="77777777" w:rsidTr="00487553">
        <w:trPr>
          <w:trHeight w:val="516"/>
        </w:trPr>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3125D77A" w14:textId="5E69B984" w:rsidR="00BF53B1" w:rsidRPr="00487553" w:rsidRDefault="00BF53B1" w:rsidP="00BF53B1">
            <w:pPr>
              <w:spacing w:line="360" w:lineRule="auto"/>
              <w:jc w:val="left"/>
              <w:rPr>
                <w:rFonts w:asciiTheme="minorEastAsia" w:eastAsiaTheme="minorEastAsia" w:hAnsiTheme="minorEastAsia"/>
                <w:szCs w:val="21"/>
              </w:rPr>
            </w:pPr>
            <w:r w:rsidRPr="00487553">
              <w:rPr>
                <w:rFonts w:asciiTheme="minorEastAsia" w:eastAsiaTheme="minorEastAsia" w:hAnsiTheme="minorEastAsia" w:hint="eastAsia"/>
                <w:szCs w:val="21"/>
              </w:rPr>
              <w:lastRenderedPageBreak/>
              <w:t>易方达基金管理有限公司关于暂停厦门市鑫鼎盛控股有限公司办理旗下基金相关销售业务的公告</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3C83E49" w14:textId="59C0B583" w:rsidR="00BF53B1" w:rsidRPr="00487553" w:rsidRDefault="00BF53B1" w:rsidP="00487553">
            <w:pPr>
              <w:spacing w:line="360" w:lineRule="auto"/>
              <w:ind w:firstLineChars="15" w:firstLine="31"/>
              <w:jc w:val="center"/>
              <w:rPr>
                <w:rFonts w:asciiTheme="minorEastAsia" w:eastAsiaTheme="minorEastAsia" w:hAnsiTheme="minorEastAsia"/>
                <w:szCs w:val="21"/>
              </w:rPr>
            </w:pPr>
            <w:r w:rsidRPr="00487553">
              <w:rPr>
                <w:rFonts w:asciiTheme="minorEastAsia" w:eastAsiaTheme="minorEastAsia" w:hAnsiTheme="minorEastAsia" w:hint="eastAsia"/>
                <w:szCs w:val="21"/>
              </w:rPr>
              <w:t>2019-08-14</w:t>
            </w:r>
          </w:p>
        </w:tc>
      </w:tr>
    </w:tbl>
    <w:p w14:paraId="7683AE63" w14:textId="6D064D2C" w:rsidR="00770EB8" w:rsidRPr="00487553" w:rsidRDefault="00E27DF6"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487553">
        <w:rPr>
          <w:rFonts w:asciiTheme="minorEastAsia" w:eastAsiaTheme="minorEastAsia" w:hAnsiTheme="minorEastAsia" w:hint="eastAsia"/>
          <w:szCs w:val="21"/>
        </w:rPr>
        <w:t>注：以上公告事项披露在指定媒介及基金管理人网站上。</w:t>
      </w:r>
    </w:p>
    <w:p w14:paraId="34C5F192" w14:textId="77777777" w:rsidR="00770EB8" w:rsidRPr="00487553" w:rsidRDefault="00770EB8"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p>
    <w:p w14:paraId="28D12D35" w14:textId="77777777" w:rsidR="00770EB8" w:rsidRPr="00487553" w:rsidRDefault="00770EB8" w:rsidP="00D94E68">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p>
    <w:p w14:paraId="7BC00272" w14:textId="72A78A31"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2366" w:name="_Toc38438350"/>
      <w:bookmarkStart w:id="2367" w:name="_Toc38438687"/>
      <w:bookmarkStart w:id="2368" w:name="_Toc38439024"/>
      <w:bookmarkStart w:id="2369" w:name="_Toc38439361"/>
      <w:bookmarkStart w:id="2370" w:name="_Toc38439698"/>
      <w:bookmarkStart w:id="2371" w:name="_Toc38440035"/>
      <w:bookmarkStart w:id="2372" w:name="_Toc38440372"/>
      <w:bookmarkStart w:id="2373" w:name="_Toc38440904"/>
      <w:bookmarkStart w:id="2374" w:name="_Toc38441236"/>
      <w:bookmarkStart w:id="2375" w:name="_Toc38441568"/>
      <w:bookmarkStart w:id="2376" w:name="_Toc38441896"/>
      <w:bookmarkStart w:id="2377" w:name="_Toc38442228"/>
      <w:bookmarkStart w:id="2378" w:name="_Toc38442560"/>
      <w:bookmarkStart w:id="2379" w:name="_Toc38442891"/>
      <w:bookmarkStart w:id="2380" w:name="_Toc38443222"/>
      <w:bookmarkStart w:id="2381" w:name="_Toc38443553"/>
      <w:bookmarkStart w:id="2382" w:name="_Toc38443883"/>
      <w:bookmarkStart w:id="2383" w:name="_Toc38438351"/>
      <w:bookmarkStart w:id="2384" w:name="_Toc38438688"/>
      <w:bookmarkStart w:id="2385" w:name="_Toc38439025"/>
      <w:bookmarkStart w:id="2386" w:name="_Toc38439362"/>
      <w:bookmarkStart w:id="2387" w:name="_Toc38439699"/>
      <w:bookmarkStart w:id="2388" w:name="_Toc38440036"/>
      <w:bookmarkStart w:id="2389" w:name="_Toc38440373"/>
      <w:bookmarkStart w:id="2390" w:name="_Toc38440905"/>
      <w:bookmarkStart w:id="2391" w:name="_Toc38441237"/>
      <w:bookmarkStart w:id="2392" w:name="_Toc38441569"/>
      <w:bookmarkStart w:id="2393" w:name="_Toc38441897"/>
      <w:bookmarkStart w:id="2394" w:name="_Toc38442229"/>
      <w:bookmarkStart w:id="2395" w:name="_Toc38442561"/>
      <w:bookmarkStart w:id="2396" w:name="_Toc38442892"/>
      <w:bookmarkStart w:id="2397" w:name="_Toc38443223"/>
      <w:bookmarkStart w:id="2398" w:name="_Toc38443554"/>
      <w:bookmarkStart w:id="2399" w:name="_Toc38443884"/>
      <w:bookmarkStart w:id="2400" w:name="_Toc38438352"/>
      <w:bookmarkStart w:id="2401" w:name="_Toc38438689"/>
      <w:bookmarkStart w:id="2402" w:name="_Toc38439026"/>
      <w:bookmarkStart w:id="2403" w:name="_Toc38439363"/>
      <w:bookmarkStart w:id="2404" w:name="_Toc38439700"/>
      <w:bookmarkStart w:id="2405" w:name="_Toc38440037"/>
      <w:bookmarkStart w:id="2406" w:name="_Toc38440374"/>
      <w:bookmarkStart w:id="2407" w:name="_Toc38440906"/>
      <w:bookmarkStart w:id="2408" w:name="_Toc38441238"/>
      <w:bookmarkStart w:id="2409" w:name="_Toc38441570"/>
      <w:bookmarkStart w:id="2410" w:name="_Toc38441898"/>
      <w:bookmarkStart w:id="2411" w:name="_Toc38442230"/>
      <w:bookmarkStart w:id="2412" w:name="_Toc38442562"/>
      <w:bookmarkStart w:id="2413" w:name="_Toc38442893"/>
      <w:bookmarkStart w:id="2414" w:name="_Toc38443224"/>
      <w:bookmarkStart w:id="2415" w:name="_Toc38443555"/>
      <w:bookmarkStart w:id="2416" w:name="_Toc38443885"/>
      <w:bookmarkStart w:id="2417" w:name="_Toc38438353"/>
      <w:bookmarkStart w:id="2418" w:name="_Toc38438690"/>
      <w:bookmarkStart w:id="2419" w:name="_Toc38439027"/>
      <w:bookmarkStart w:id="2420" w:name="_Toc38439364"/>
      <w:bookmarkStart w:id="2421" w:name="_Toc38439701"/>
      <w:bookmarkStart w:id="2422" w:name="_Toc38440038"/>
      <w:bookmarkStart w:id="2423" w:name="_Toc38440375"/>
      <w:bookmarkStart w:id="2424" w:name="_Toc38440907"/>
      <w:bookmarkStart w:id="2425" w:name="_Toc38441239"/>
      <w:bookmarkStart w:id="2426" w:name="_Toc38441571"/>
      <w:bookmarkStart w:id="2427" w:name="_Toc38441899"/>
      <w:bookmarkStart w:id="2428" w:name="_Toc38442231"/>
      <w:bookmarkStart w:id="2429" w:name="_Toc38442563"/>
      <w:bookmarkStart w:id="2430" w:name="_Toc38442894"/>
      <w:bookmarkStart w:id="2431" w:name="_Toc38443225"/>
      <w:bookmarkStart w:id="2432" w:name="_Toc38443556"/>
      <w:bookmarkStart w:id="2433" w:name="_Toc38443886"/>
      <w:bookmarkStart w:id="2434" w:name="_Toc38438354"/>
      <w:bookmarkStart w:id="2435" w:name="_Toc38438691"/>
      <w:bookmarkStart w:id="2436" w:name="_Toc38439028"/>
      <w:bookmarkStart w:id="2437" w:name="_Toc38439365"/>
      <w:bookmarkStart w:id="2438" w:name="_Toc38439702"/>
      <w:bookmarkStart w:id="2439" w:name="_Toc38440039"/>
      <w:bookmarkStart w:id="2440" w:name="_Toc38440376"/>
      <w:bookmarkStart w:id="2441" w:name="_Toc38440908"/>
      <w:bookmarkStart w:id="2442" w:name="_Toc38441240"/>
      <w:bookmarkStart w:id="2443" w:name="_Toc38441572"/>
      <w:bookmarkStart w:id="2444" w:name="_Toc38441900"/>
      <w:bookmarkStart w:id="2445" w:name="_Toc38442232"/>
      <w:bookmarkStart w:id="2446" w:name="_Toc38442564"/>
      <w:bookmarkStart w:id="2447" w:name="_Toc38442895"/>
      <w:bookmarkStart w:id="2448" w:name="_Toc38443226"/>
      <w:bookmarkStart w:id="2449" w:name="_Toc38443557"/>
      <w:bookmarkStart w:id="2450" w:name="_Toc38443887"/>
      <w:bookmarkStart w:id="2451" w:name="_Toc38438355"/>
      <w:bookmarkStart w:id="2452" w:name="_Toc38438692"/>
      <w:bookmarkStart w:id="2453" w:name="_Toc38439029"/>
      <w:bookmarkStart w:id="2454" w:name="_Toc38439366"/>
      <w:bookmarkStart w:id="2455" w:name="_Toc38439703"/>
      <w:bookmarkStart w:id="2456" w:name="_Toc38440040"/>
      <w:bookmarkStart w:id="2457" w:name="_Toc38440377"/>
      <w:bookmarkStart w:id="2458" w:name="_Toc38440909"/>
      <w:bookmarkStart w:id="2459" w:name="_Toc38441241"/>
      <w:bookmarkStart w:id="2460" w:name="_Toc38441573"/>
      <w:bookmarkStart w:id="2461" w:name="_Toc38441901"/>
      <w:bookmarkStart w:id="2462" w:name="_Toc38442233"/>
      <w:bookmarkStart w:id="2463" w:name="_Toc38442565"/>
      <w:bookmarkStart w:id="2464" w:name="_Toc38442896"/>
      <w:bookmarkStart w:id="2465" w:name="_Toc38443227"/>
      <w:bookmarkStart w:id="2466" w:name="_Toc38443558"/>
      <w:bookmarkStart w:id="2467" w:name="_Toc38443888"/>
      <w:bookmarkStart w:id="2468" w:name="_Toc38438356"/>
      <w:bookmarkStart w:id="2469" w:name="_Toc38438693"/>
      <w:bookmarkStart w:id="2470" w:name="_Toc38439030"/>
      <w:bookmarkStart w:id="2471" w:name="_Toc38439367"/>
      <w:bookmarkStart w:id="2472" w:name="_Toc38439704"/>
      <w:bookmarkStart w:id="2473" w:name="_Toc38440041"/>
      <w:bookmarkStart w:id="2474" w:name="_Toc38440378"/>
      <w:bookmarkStart w:id="2475" w:name="_Toc38440910"/>
      <w:bookmarkStart w:id="2476" w:name="_Toc38441242"/>
      <w:bookmarkStart w:id="2477" w:name="_Toc38441574"/>
      <w:bookmarkStart w:id="2478" w:name="_Toc38441902"/>
      <w:bookmarkStart w:id="2479" w:name="_Toc38442234"/>
      <w:bookmarkStart w:id="2480" w:name="_Toc38442566"/>
      <w:bookmarkStart w:id="2481" w:name="_Toc38442897"/>
      <w:bookmarkStart w:id="2482" w:name="_Toc38443228"/>
      <w:bookmarkStart w:id="2483" w:name="_Toc38443559"/>
      <w:bookmarkStart w:id="2484" w:name="_Toc38443889"/>
      <w:bookmarkStart w:id="2485" w:name="_Toc38438357"/>
      <w:bookmarkStart w:id="2486" w:name="_Toc38438694"/>
      <w:bookmarkStart w:id="2487" w:name="_Toc38439031"/>
      <w:bookmarkStart w:id="2488" w:name="_Toc38439368"/>
      <w:bookmarkStart w:id="2489" w:name="_Toc38439705"/>
      <w:bookmarkStart w:id="2490" w:name="_Toc38440042"/>
      <w:bookmarkStart w:id="2491" w:name="_Toc38440379"/>
      <w:bookmarkStart w:id="2492" w:name="_Toc38440911"/>
      <w:bookmarkStart w:id="2493" w:name="_Toc38441243"/>
      <w:bookmarkStart w:id="2494" w:name="_Toc38441575"/>
      <w:bookmarkStart w:id="2495" w:name="_Toc38441903"/>
      <w:bookmarkStart w:id="2496" w:name="_Toc38442235"/>
      <w:bookmarkStart w:id="2497" w:name="_Toc38442567"/>
      <w:bookmarkStart w:id="2498" w:name="_Toc38442898"/>
      <w:bookmarkStart w:id="2499" w:name="_Toc38443229"/>
      <w:bookmarkStart w:id="2500" w:name="_Toc38443560"/>
      <w:bookmarkStart w:id="2501" w:name="_Toc38443890"/>
      <w:bookmarkStart w:id="2502" w:name="_Toc38438358"/>
      <w:bookmarkStart w:id="2503" w:name="_Toc38438695"/>
      <w:bookmarkStart w:id="2504" w:name="_Toc38439032"/>
      <w:bookmarkStart w:id="2505" w:name="_Toc38439369"/>
      <w:bookmarkStart w:id="2506" w:name="_Toc38439706"/>
      <w:bookmarkStart w:id="2507" w:name="_Toc38440043"/>
      <w:bookmarkStart w:id="2508" w:name="_Toc38440380"/>
      <w:bookmarkStart w:id="2509" w:name="_Toc38440912"/>
      <w:bookmarkStart w:id="2510" w:name="_Toc38441244"/>
      <w:bookmarkStart w:id="2511" w:name="_Toc38441576"/>
      <w:bookmarkStart w:id="2512" w:name="_Toc38441904"/>
      <w:bookmarkStart w:id="2513" w:name="_Toc38442236"/>
      <w:bookmarkStart w:id="2514" w:name="_Toc38442568"/>
      <w:bookmarkStart w:id="2515" w:name="_Toc38442899"/>
      <w:bookmarkStart w:id="2516" w:name="_Toc38443230"/>
      <w:bookmarkStart w:id="2517" w:name="_Toc38443561"/>
      <w:bookmarkStart w:id="2518" w:name="_Toc38443891"/>
      <w:bookmarkStart w:id="2519" w:name="_Toc38438359"/>
      <w:bookmarkStart w:id="2520" w:name="_Toc38438696"/>
      <w:bookmarkStart w:id="2521" w:name="_Toc38439033"/>
      <w:bookmarkStart w:id="2522" w:name="_Toc38439370"/>
      <w:bookmarkStart w:id="2523" w:name="_Toc38439707"/>
      <w:bookmarkStart w:id="2524" w:name="_Toc38440044"/>
      <w:bookmarkStart w:id="2525" w:name="_Toc38440381"/>
      <w:bookmarkStart w:id="2526" w:name="_Toc38440913"/>
      <w:bookmarkStart w:id="2527" w:name="_Toc38441245"/>
      <w:bookmarkStart w:id="2528" w:name="_Toc38441577"/>
      <w:bookmarkStart w:id="2529" w:name="_Toc38441905"/>
      <w:bookmarkStart w:id="2530" w:name="_Toc38442237"/>
      <w:bookmarkStart w:id="2531" w:name="_Toc38442569"/>
      <w:bookmarkStart w:id="2532" w:name="_Toc38442900"/>
      <w:bookmarkStart w:id="2533" w:name="_Toc38443231"/>
      <w:bookmarkStart w:id="2534" w:name="_Toc38443562"/>
      <w:bookmarkStart w:id="2535" w:name="_Toc38443892"/>
      <w:bookmarkStart w:id="2536" w:name="_Toc38438360"/>
      <w:bookmarkStart w:id="2537" w:name="_Toc38438697"/>
      <w:bookmarkStart w:id="2538" w:name="_Toc38439034"/>
      <w:bookmarkStart w:id="2539" w:name="_Toc38439371"/>
      <w:bookmarkStart w:id="2540" w:name="_Toc38439708"/>
      <w:bookmarkStart w:id="2541" w:name="_Toc38440045"/>
      <w:bookmarkStart w:id="2542" w:name="_Toc38440382"/>
      <w:bookmarkStart w:id="2543" w:name="_Toc38440914"/>
      <w:bookmarkStart w:id="2544" w:name="_Toc38441246"/>
      <w:bookmarkStart w:id="2545" w:name="_Toc38441578"/>
      <w:bookmarkStart w:id="2546" w:name="_Toc38441906"/>
      <w:bookmarkStart w:id="2547" w:name="_Toc38442238"/>
      <w:bookmarkStart w:id="2548" w:name="_Toc38442570"/>
      <w:bookmarkStart w:id="2549" w:name="_Toc38442901"/>
      <w:bookmarkStart w:id="2550" w:name="_Toc38443232"/>
      <w:bookmarkStart w:id="2551" w:name="_Toc38443563"/>
      <w:bookmarkStart w:id="2552" w:name="_Toc38443893"/>
      <w:bookmarkStart w:id="2553" w:name="_Toc38438361"/>
      <w:bookmarkStart w:id="2554" w:name="_Toc38438698"/>
      <w:bookmarkStart w:id="2555" w:name="_Toc38439035"/>
      <w:bookmarkStart w:id="2556" w:name="_Toc38439372"/>
      <w:bookmarkStart w:id="2557" w:name="_Toc38439709"/>
      <w:bookmarkStart w:id="2558" w:name="_Toc38440046"/>
      <w:bookmarkStart w:id="2559" w:name="_Toc38440383"/>
      <w:bookmarkStart w:id="2560" w:name="_Toc38440915"/>
      <w:bookmarkStart w:id="2561" w:name="_Toc38441247"/>
      <w:bookmarkStart w:id="2562" w:name="_Toc38441579"/>
      <w:bookmarkStart w:id="2563" w:name="_Toc38441907"/>
      <w:bookmarkStart w:id="2564" w:name="_Toc38442239"/>
      <w:bookmarkStart w:id="2565" w:name="_Toc38442571"/>
      <w:bookmarkStart w:id="2566" w:name="_Toc38442902"/>
      <w:bookmarkStart w:id="2567" w:name="_Toc38443233"/>
      <w:bookmarkStart w:id="2568" w:name="_Toc38443564"/>
      <w:bookmarkStart w:id="2569" w:name="_Toc38443894"/>
      <w:bookmarkStart w:id="2570" w:name="_Toc38438362"/>
      <w:bookmarkStart w:id="2571" w:name="_Toc38438699"/>
      <w:bookmarkStart w:id="2572" w:name="_Toc38439036"/>
      <w:bookmarkStart w:id="2573" w:name="_Toc38439373"/>
      <w:bookmarkStart w:id="2574" w:name="_Toc38439710"/>
      <w:bookmarkStart w:id="2575" w:name="_Toc38440047"/>
      <w:bookmarkStart w:id="2576" w:name="_Toc38440384"/>
      <w:bookmarkStart w:id="2577" w:name="_Toc38440916"/>
      <w:bookmarkStart w:id="2578" w:name="_Toc38441248"/>
      <w:bookmarkStart w:id="2579" w:name="_Toc38441580"/>
      <w:bookmarkStart w:id="2580" w:name="_Toc38441908"/>
      <w:bookmarkStart w:id="2581" w:name="_Toc38442240"/>
      <w:bookmarkStart w:id="2582" w:name="_Toc38442572"/>
      <w:bookmarkStart w:id="2583" w:name="_Toc38442903"/>
      <w:bookmarkStart w:id="2584" w:name="_Toc38443234"/>
      <w:bookmarkStart w:id="2585" w:name="_Toc38443565"/>
      <w:bookmarkStart w:id="2586" w:name="_Toc38443895"/>
      <w:bookmarkStart w:id="2587" w:name="_Toc38438363"/>
      <w:bookmarkStart w:id="2588" w:name="_Toc38438700"/>
      <w:bookmarkStart w:id="2589" w:name="_Toc38439037"/>
      <w:bookmarkStart w:id="2590" w:name="_Toc38439374"/>
      <w:bookmarkStart w:id="2591" w:name="_Toc38439711"/>
      <w:bookmarkStart w:id="2592" w:name="_Toc38440048"/>
      <w:bookmarkStart w:id="2593" w:name="_Toc38440385"/>
      <w:bookmarkStart w:id="2594" w:name="_Toc38440917"/>
      <w:bookmarkStart w:id="2595" w:name="_Toc38441249"/>
      <w:bookmarkStart w:id="2596" w:name="_Toc38441581"/>
      <w:bookmarkStart w:id="2597" w:name="_Toc38441909"/>
      <w:bookmarkStart w:id="2598" w:name="_Toc38442241"/>
      <w:bookmarkStart w:id="2599" w:name="_Toc38442573"/>
      <w:bookmarkStart w:id="2600" w:name="_Toc38442904"/>
      <w:bookmarkStart w:id="2601" w:name="_Toc38443235"/>
      <w:bookmarkStart w:id="2602" w:name="_Toc38443566"/>
      <w:bookmarkStart w:id="2603" w:name="_Toc38443896"/>
      <w:bookmarkStart w:id="2604" w:name="_Toc38438364"/>
      <w:bookmarkStart w:id="2605" w:name="_Toc38438701"/>
      <w:bookmarkStart w:id="2606" w:name="_Toc38439038"/>
      <w:bookmarkStart w:id="2607" w:name="_Toc38439375"/>
      <w:bookmarkStart w:id="2608" w:name="_Toc38439712"/>
      <w:bookmarkStart w:id="2609" w:name="_Toc38440049"/>
      <w:bookmarkStart w:id="2610" w:name="_Toc38440386"/>
      <w:bookmarkStart w:id="2611" w:name="_Toc38440918"/>
      <w:bookmarkStart w:id="2612" w:name="_Toc38441250"/>
      <w:bookmarkStart w:id="2613" w:name="_Toc38441582"/>
      <w:bookmarkStart w:id="2614" w:name="_Toc38441910"/>
      <w:bookmarkStart w:id="2615" w:name="_Toc38442242"/>
      <w:bookmarkStart w:id="2616" w:name="_Toc38442574"/>
      <w:bookmarkStart w:id="2617" w:name="_Toc38442905"/>
      <w:bookmarkStart w:id="2618" w:name="_Toc38443236"/>
      <w:bookmarkStart w:id="2619" w:name="_Toc38443567"/>
      <w:bookmarkStart w:id="2620" w:name="_Toc38443897"/>
      <w:bookmarkStart w:id="2621" w:name="_Toc38438365"/>
      <w:bookmarkStart w:id="2622" w:name="_Toc38438702"/>
      <w:bookmarkStart w:id="2623" w:name="_Toc38439039"/>
      <w:bookmarkStart w:id="2624" w:name="_Toc38439376"/>
      <w:bookmarkStart w:id="2625" w:name="_Toc38439713"/>
      <w:bookmarkStart w:id="2626" w:name="_Toc38440050"/>
      <w:bookmarkStart w:id="2627" w:name="_Toc38440387"/>
      <w:bookmarkStart w:id="2628" w:name="_Toc38440919"/>
      <w:bookmarkStart w:id="2629" w:name="_Toc38441251"/>
      <w:bookmarkStart w:id="2630" w:name="_Toc38441583"/>
      <w:bookmarkStart w:id="2631" w:name="_Toc38441911"/>
      <w:bookmarkStart w:id="2632" w:name="_Toc38442243"/>
      <w:bookmarkStart w:id="2633" w:name="_Toc38442575"/>
      <w:bookmarkStart w:id="2634" w:name="_Toc38442906"/>
      <w:bookmarkStart w:id="2635" w:name="_Toc38443237"/>
      <w:bookmarkStart w:id="2636" w:name="_Toc38443568"/>
      <w:bookmarkStart w:id="2637" w:name="_Toc38443898"/>
      <w:bookmarkStart w:id="2638" w:name="_Toc38438366"/>
      <w:bookmarkStart w:id="2639" w:name="_Toc38438703"/>
      <w:bookmarkStart w:id="2640" w:name="_Toc38439040"/>
      <w:bookmarkStart w:id="2641" w:name="_Toc38439377"/>
      <w:bookmarkStart w:id="2642" w:name="_Toc38439714"/>
      <w:bookmarkStart w:id="2643" w:name="_Toc38440051"/>
      <w:bookmarkStart w:id="2644" w:name="_Toc38440388"/>
      <w:bookmarkStart w:id="2645" w:name="_Toc38440920"/>
      <w:bookmarkStart w:id="2646" w:name="_Toc38441252"/>
      <w:bookmarkStart w:id="2647" w:name="_Toc38441584"/>
      <w:bookmarkStart w:id="2648" w:name="_Toc38441912"/>
      <w:bookmarkStart w:id="2649" w:name="_Toc38442244"/>
      <w:bookmarkStart w:id="2650" w:name="_Toc38442576"/>
      <w:bookmarkStart w:id="2651" w:name="_Toc38442907"/>
      <w:bookmarkStart w:id="2652" w:name="_Toc38443238"/>
      <w:bookmarkStart w:id="2653" w:name="_Toc38443569"/>
      <w:bookmarkStart w:id="2654" w:name="_Toc38443899"/>
      <w:bookmarkStart w:id="2655" w:name="_Toc38438367"/>
      <w:bookmarkStart w:id="2656" w:name="_Toc38438704"/>
      <w:bookmarkStart w:id="2657" w:name="_Toc38439041"/>
      <w:bookmarkStart w:id="2658" w:name="_Toc38439378"/>
      <w:bookmarkStart w:id="2659" w:name="_Toc38439715"/>
      <w:bookmarkStart w:id="2660" w:name="_Toc38440052"/>
      <w:bookmarkStart w:id="2661" w:name="_Toc38440389"/>
      <w:bookmarkStart w:id="2662" w:name="_Toc38440921"/>
      <w:bookmarkStart w:id="2663" w:name="_Toc38441253"/>
      <w:bookmarkStart w:id="2664" w:name="_Toc38441585"/>
      <w:bookmarkStart w:id="2665" w:name="_Toc38441913"/>
      <w:bookmarkStart w:id="2666" w:name="_Toc38442245"/>
      <w:bookmarkStart w:id="2667" w:name="_Toc38442577"/>
      <w:bookmarkStart w:id="2668" w:name="_Toc38442908"/>
      <w:bookmarkStart w:id="2669" w:name="_Toc38443239"/>
      <w:bookmarkStart w:id="2670" w:name="_Toc38443570"/>
      <w:bookmarkStart w:id="2671" w:name="_Toc38443900"/>
      <w:bookmarkStart w:id="2672" w:name="_Toc38438368"/>
      <w:bookmarkStart w:id="2673" w:name="_Toc38438705"/>
      <w:bookmarkStart w:id="2674" w:name="_Toc38439042"/>
      <w:bookmarkStart w:id="2675" w:name="_Toc38439379"/>
      <w:bookmarkStart w:id="2676" w:name="_Toc38439716"/>
      <w:bookmarkStart w:id="2677" w:name="_Toc38440053"/>
      <w:bookmarkStart w:id="2678" w:name="_Toc38440390"/>
      <w:bookmarkStart w:id="2679" w:name="_Toc38440922"/>
      <w:bookmarkStart w:id="2680" w:name="_Toc38441254"/>
      <w:bookmarkStart w:id="2681" w:name="_Toc38441586"/>
      <w:bookmarkStart w:id="2682" w:name="_Toc38441914"/>
      <w:bookmarkStart w:id="2683" w:name="_Toc38442246"/>
      <w:bookmarkStart w:id="2684" w:name="_Toc38442578"/>
      <w:bookmarkStart w:id="2685" w:name="_Toc38442909"/>
      <w:bookmarkStart w:id="2686" w:name="_Toc38443240"/>
      <w:bookmarkStart w:id="2687" w:name="_Toc38443571"/>
      <w:bookmarkStart w:id="2688" w:name="_Toc38443901"/>
      <w:bookmarkStart w:id="2689" w:name="_Toc38438369"/>
      <w:bookmarkStart w:id="2690" w:name="_Toc38438706"/>
      <w:bookmarkStart w:id="2691" w:name="_Toc38439043"/>
      <w:bookmarkStart w:id="2692" w:name="_Toc38439380"/>
      <w:bookmarkStart w:id="2693" w:name="_Toc38439717"/>
      <w:bookmarkStart w:id="2694" w:name="_Toc38440054"/>
      <w:bookmarkStart w:id="2695" w:name="_Toc38440391"/>
      <w:bookmarkStart w:id="2696" w:name="_Toc38440923"/>
      <w:bookmarkStart w:id="2697" w:name="_Toc38441255"/>
      <w:bookmarkStart w:id="2698" w:name="_Toc38441587"/>
      <w:bookmarkStart w:id="2699" w:name="_Toc38441915"/>
      <w:bookmarkStart w:id="2700" w:name="_Toc38442247"/>
      <w:bookmarkStart w:id="2701" w:name="_Toc38442579"/>
      <w:bookmarkStart w:id="2702" w:name="_Toc38442910"/>
      <w:bookmarkStart w:id="2703" w:name="_Toc38443241"/>
      <w:bookmarkStart w:id="2704" w:name="_Toc38443572"/>
      <w:bookmarkStart w:id="2705" w:name="_Toc38443902"/>
      <w:bookmarkStart w:id="2706" w:name="_Toc38438371"/>
      <w:bookmarkStart w:id="2707" w:name="_Toc38438708"/>
      <w:bookmarkStart w:id="2708" w:name="_Toc38439045"/>
      <w:bookmarkStart w:id="2709" w:name="_Toc38439382"/>
      <w:bookmarkStart w:id="2710" w:name="_Toc38439719"/>
      <w:bookmarkStart w:id="2711" w:name="_Toc38440056"/>
      <w:bookmarkStart w:id="2712" w:name="_Toc38440393"/>
      <w:bookmarkStart w:id="2713" w:name="_Toc38440925"/>
      <w:bookmarkStart w:id="2714" w:name="_Toc38441257"/>
      <w:bookmarkStart w:id="2715" w:name="_Toc38441589"/>
      <w:bookmarkStart w:id="2716" w:name="_Toc38441917"/>
      <w:bookmarkStart w:id="2717" w:name="_Toc38442249"/>
      <w:bookmarkStart w:id="2718" w:name="_Toc38442581"/>
      <w:bookmarkStart w:id="2719" w:name="_Toc38442912"/>
      <w:bookmarkStart w:id="2720" w:name="_Toc38443243"/>
      <w:bookmarkStart w:id="2721" w:name="_Toc38443574"/>
      <w:bookmarkStart w:id="2722" w:name="_Toc38443904"/>
      <w:bookmarkStart w:id="2723" w:name="_Toc38438372"/>
      <w:bookmarkStart w:id="2724" w:name="_Toc38438709"/>
      <w:bookmarkStart w:id="2725" w:name="_Toc38439046"/>
      <w:bookmarkStart w:id="2726" w:name="_Toc38439383"/>
      <w:bookmarkStart w:id="2727" w:name="_Toc38439720"/>
      <w:bookmarkStart w:id="2728" w:name="_Toc38440057"/>
      <w:bookmarkStart w:id="2729" w:name="_Toc38440394"/>
      <w:bookmarkStart w:id="2730" w:name="_Toc38440926"/>
      <w:bookmarkStart w:id="2731" w:name="_Toc38441258"/>
      <w:bookmarkStart w:id="2732" w:name="_Toc38441590"/>
      <w:bookmarkStart w:id="2733" w:name="_Toc38441918"/>
      <w:bookmarkStart w:id="2734" w:name="_Toc38442250"/>
      <w:bookmarkStart w:id="2735" w:name="_Toc38442582"/>
      <w:bookmarkStart w:id="2736" w:name="_Toc38442913"/>
      <w:bookmarkStart w:id="2737" w:name="_Toc38443244"/>
      <w:bookmarkStart w:id="2738" w:name="_Toc38443575"/>
      <w:bookmarkStart w:id="2739" w:name="_Toc38443905"/>
      <w:bookmarkStart w:id="2740" w:name="_Toc38438373"/>
      <w:bookmarkStart w:id="2741" w:name="_Toc38438710"/>
      <w:bookmarkStart w:id="2742" w:name="_Toc38439047"/>
      <w:bookmarkStart w:id="2743" w:name="_Toc38439384"/>
      <w:bookmarkStart w:id="2744" w:name="_Toc38439721"/>
      <w:bookmarkStart w:id="2745" w:name="_Toc38440058"/>
      <w:bookmarkStart w:id="2746" w:name="_Toc38440395"/>
      <w:bookmarkStart w:id="2747" w:name="_Toc38440927"/>
      <w:bookmarkStart w:id="2748" w:name="_Toc38441259"/>
      <w:bookmarkStart w:id="2749" w:name="_Toc38441591"/>
      <w:bookmarkStart w:id="2750" w:name="_Toc38441919"/>
      <w:bookmarkStart w:id="2751" w:name="_Toc38442251"/>
      <w:bookmarkStart w:id="2752" w:name="_Toc38442583"/>
      <w:bookmarkStart w:id="2753" w:name="_Toc38442914"/>
      <w:bookmarkStart w:id="2754" w:name="_Toc38443245"/>
      <w:bookmarkStart w:id="2755" w:name="_Toc38443576"/>
      <w:bookmarkStart w:id="2756" w:name="_Toc38443906"/>
      <w:bookmarkStart w:id="2757" w:name="_Toc38438374"/>
      <w:bookmarkStart w:id="2758" w:name="_Toc38438711"/>
      <w:bookmarkStart w:id="2759" w:name="_Toc38439048"/>
      <w:bookmarkStart w:id="2760" w:name="_Toc38439385"/>
      <w:bookmarkStart w:id="2761" w:name="_Toc38439722"/>
      <w:bookmarkStart w:id="2762" w:name="_Toc38440059"/>
      <w:bookmarkStart w:id="2763" w:name="_Toc38440396"/>
      <w:bookmarkStart w:id="2764" w:name="_Toc38440928"/>
      <w:bookmarkStart w:id="2765" w:name="_Toc38441260"/>
      <w:bookmarkStart w:id="2766" w:name="_Toc38441592"/>
      <w:bookmarkStart w:id="2767" w:name="_Toc38441920"/>
      <w:bookmarkStart w:id="2768" w:name="_Toc38442252"/>
      <w:bookmarkStart w:id="2769" w:name="_Toc38442584"/>
      <w:bookmarkStart w:id="2770" w:name="_Toc38442915"/>
      <w:bookmarkStart w:id="2771" w:name="_Toc38443246"/>
      <w:bookmarkStart w:id="2772" w:name="_Toc38443577"/>
      <w:bookmarkStart w:id="2773" w:name="_Toc38443907"/>
      <w:bookmarkStart w:id="2774" w:name="_Toc38438375"/>
      <w:bookmarkStart w:id="2775" w:name="_Toc38438712"/>
      <w:bookmarkStart w:id="2776" w:name="_Toc38439049"/>
      <w:bookmarkStart w:id="2777" w:name="_Toc38439386"/>
      <w:bookmarkStart w:id="2778" w:name="_Toc38439723"/>
      <w:bookmarkStart w:id="2779" w:name="_Toc38440060"/>
      <w:bookmarkStart w:id="2780" w:name="_Toc38440397"/>
      <w:bookmarkStart w:id="2781" w:name="_Toc38440929"/>
      <w:bookmarkStart w:id="2782" w:name="_Toc38441261"/>
      <w:bookmarkStart w:id="2783" w:name="_Toc38441593"/>
      <w:bookmarkStart w:id="2784" w:name="_Toc38441921"/>
      <w:bookmarkStart w:id="2785" w:name="_Toc38442253"/>
      <w:bookmarkStart w:id="2786" w:name="_Toc38442585"/>
      <w:bookmarkStart w:id="2787" w:name="_Toc38442916"/>
      <w:bookmarkStart w:id="2788" w:name="_Toc38443247"/>
      <w:bookmarkStart w:id="2789" w:name="_Toc38443578"/>
      <w:bookmarkStart w:id="2790" w:name="_Toc38443908"/>
      <w:bookmarkStart w:id="2791" w:name="_Toc38438376"/>
      <w:bookmarkStart w:id="2792" w:name="_Toc38438713"/>
      <w:bookmarkStart w:id="2793" w:name="_Toc38439050"/>
      <w:bookmarkStart w:id="2794" w:name="_Toc38439387"/>
      <w:bookmarkStart w:id="2795" w:name="_Toc38439724"/>
      <w:bookmarkStart w:id="2796" w:name="_Toc38440061"/>
      <w:bookmarkStart w:id="2797" w:name="_Toc38440398"/>
      <w:bookmarkStart w:id="2798" w:name="_Toc38440930"/>
      <w:bookmarkStart w:id="2799" w:name="_Toc38441262"/>
      <w:bookmarkStart w:id="2800" w:name="_Toc38441594"/>
      <w:bookmarkStart w:id="2801" w:name="_Toc38441922"/>
      <w:bookmarkStart w:id="2802" w:name="_Toc38442254"/>
      <w:bookmarkStart w:id="2803" w:name="_Toc38442586"/>
      <w:bookmarkStart w:id="2804" w:name="_Toc38442917"/>
      <w:bookmarkStart w:id="2805" w:name="_Toc38443248"/>
      <w:bookmarkStart w:id="2806" w:name="_Toc38443579"/>
      <w:bookmarkStart w:id="2807" w:name="_Toc38443909"/>
      <w:bookmarkStart w:id="2808" w:name="_Toc38438377"/>
      <w:bookmarkStart w:id="2809" w:name="_Toc38438714"/>
      <w:bookmarkStart w:id="2810" w:name="_Toc38439051"/>
      <w:bookmarkStart w:id="2811" w:name="_Toc38439388"/>
      <w:bookmarkStart w:id="2812" w:name="_Toc38439725"/>
      <w:bookmarkStart w:id="2813" w:name="_Toc38440062"/>
      <w:bookmarkStart w:id="2814" w:name="_Toc38440399"/>
      <w:bookmarkStart w:id="2815" w:name="_Toc38440931"/>
      <w:bookmarkStart w:id="2816" w:name="_Toc38441263"/>
      <w:bookmarkStart w:id="2817" w:name="_Toc38441595"/>
      <w:bookmarkStart w:id="2818" w:name="_Toc38441923"/>
      <w:bookmarkStart w:id="2819" w:name="_Toc38442255"/>
      <w:bookmarkStart w:id="2820" w:name="_Toc38442587"/>
      <w:bookmarkStart w:id="2821" w:name="_Toc38442918"/>
      <w:bookmarkStart w:id="2822" w:name="_Toc38443249"/>
      <w:bookmarkStart w:id="2823" w:name="_Toc38443580"/>
      <w:bookmarkStart w:id="2824" w:name="_Toc38443910"/>
      <w:bookmarkStart w:id="2825" w:name="_Toc38438378"/>
      <w:bookmarkStart w:id="2826" w:name="_Toc38438715"/>
      <w:bookmarkStart w:id="2827" w:name="_Toc38439052"/>
      <w:bookmarkStart w:id="2828" w:name="_Toc38439389"/>
      <w:bookmarkStart w:id="2829" w:name="_Toc38439726"/>
      <w:bookmarkStart w:id="2830" w:name="_Toc38440063"/>
      <w:bookmarkStart w:id="2831" w:name="_Toc38440400"/>
      <w:bookmarkStart w:id="2832" w:name="_Toc38440932"/>
      <w:bookmarkStart w:id="2833" w:name="_Toc38441264"/>
      <w:bookmarkStart w:id="2834" w:name="_Toc38441596"/>
      <w:bookmarkStart w:id="2835" w:name="_Toc38441924"/>
      <w:bookmarkStart w:id="2836" w:name="_Toc38442256"/>
      <w:bookmarkStart w:id="2837" w:name="_Toc38442588"/>
      <w:bookmarkStart w:id="2838" w:name="_Toc38442919"/>
      <w:bookmarkStart w:id="2839" w:name="_Toc38443250"/>
      <w:bookmarkStart w:id="2840" w:name="_Toc38443581"/>
      <w:bookmarkStart w:id="2841" w:name="_Toc38443911"/>
      <w:bookmarkStart w:id="2842" w:name="_Toc38438379"/>
      <w:bookmarkStart w:id="2843" w:name="_Toc38438716"/>
      <w:bookmarkStart w:id="2844" w:name="_Toc38439053"/>
      <w:bookmarkStart w:id="2845" w:name="_Toc38439390"/>
      <w:bookmarkStart w:id="2846" w:name="_Toc38439727"/>
      <w:bookmarkStart w:id="2847" w:name="_Toc38440064"/>
      <w:bookmarkStart w:id="2848" w:name="_Toc38440401"/>
      <w:bookmarkStart w:id="2849" w:name="_Toc38440933"/>
      <w:bookmarkStart w:id="2850" w:name="_Toc38441265"/>
      <w:bookmarkStart w:id="2851" w:name="_Toc38441597"/>
      <w:bookmarkStart w:id="2852" w:name="_Toc38441925"/>
      <w:bookmarkStart w:id="2853" w:name="_Toc38442257"/>
      <w:bookmarkStart w:id="2854" w:name="_Toc38442589"/>
      <w:bookmarkStart w:id="2855" w:name="_Toc38442920"/>
      <w:bookmarkStart w:id="2856" w:name="_Toc38443251"/>
      <w:bookmarkStart w:id="2857" w:name="_Toc38443582"/>
      <w:bookmarkStart w:id="2858" w:name="_Toc38443912"/>
      <w:bookmarkStart w:id="2859" w:name="_Toc38438380"/>
      <w:bookmarkStart w:id="2860" w:name="_Toc38438717"/>
      <w:bookmarkStart w:id="2861" w:name="_Toc38439054"/>
      <w:bookmarkStart w:id="2862" w:name="_Toc38439391"/>
      <w:bookmarkStart w:id="2863" w:name="_Toc38439728"/>
      <w:bookmarkStart w:id="2864" w:name="_Toc38440065"/>
      <w:bookmarkStart w:id="2865" w:name="_Toc38440402"/>
      <w:bookmarkStart w:id="2866" w:name="_Toc38440934"/>
      <w:bookmarkStart w:id="2867" w:name="_Toc38441266"/>
      <w:bookmarkStart w:id="2868" w:name="_Toc38441598"/>
      <w:bookmarkStart w:id="2869" w:name="_Toc38441926"/>
      <w:bookmarkStart w:id="2870" w:name="_Toc38442258"/>
      <w:bookmarkStart w:id="2871" w:name="_Toc38442590"/>
      <w:bookmarkStart w:id="2872" w:name="_Toc38442921"/>
      <w:bookmarkStart w:id="2873" w:name="_Toc38443252"/>
      <w:bookmarkStart w:id="2874" w:name="_Toc38443583"/>
      <w:bookmarkStart w:id="2875" w:name="_Toc38443913"/>
      <w:bookmarkStart w:id="2876" w:name="_Toc38438381"/>
      <w:bookmarkStart w:id="2877" w:name="_Toc38438718"/>
      <w:bookmarkStart w:id="2878" w:name="_Toc38439055"/>
      <w:bookmarkStart w:id="2879" w:name="_Toc38439392"/>
      <w:bookmarkStart w:id="2880" w:name="_Toc38439729"/>
      <w:bookmarkStart w:id="2881" w:name="_Toc38440066"/>
      <w:bookmarkStart w:id="2882" w:name="_Toc38440403"/>
      <w:bookmarkStart w:id="2883" w:name="_Toc38440935"/>
      <w:bookmarkStart w:id="2884" w:name="_Toc38441267"/>
      <w:bookmarkStart w:id="2885" w:name="_Toc38441599"/>
      <w:bookmarkStart w:id="2886" w:name="_Toc38441927"/>
      <w:bookmarkStart w:id="2887" w:name="_Toc38442259"/>
      <w:bookmarkStart w:id="2888" w:name="_Toc38442591"/>
      <w:bookmarkStart w:id="2889" w:name="_Toc38442922"/>
      <w:bookmarkStart w:id="2890" w:name="_Toc38443253"/>
      <w:bookmarkStart w:id="2891" w:name="_Toc38443584"/>
      <w:bookmarkStart w:id="2892" w:name="_Toc38443914"/>
      <w:bookmarkStart w:id="2893" w:name="_Toc38438382"/>
      <w:bookmarkStart w:id="2894" w:name="_Toc38438719"/>
      <w:bookmarkStart w:id="2895" w:name="_Toc38439056"/>
      <w:bookmarkStart w:id="2896" w:name="_Toc38439393"/>
      <w:bookmarkStart w:id="2897" w:name="_Toc38439730"/>
      <w:bookmarkStart w:id="2898" w:name="_Toc38440067"/>
      <w:bookmarkStart w:id="2899" w:name="_Toc38440404"/>
      <w:bookmarkStart w:id="2900" w:name="_Toc38440936"/>
      <w:bookmarkStart w:id="2901" w:name="_Toc38441268"/>
      <w:bookmarkStart w:id="2902" w:name="_Toc38441600"/>
      <w:bookmarkStart w:id="2903" w:name="_Toc38441928"/>
      <w:bookmarkStart w:id="2904" w:name="_Toc38442260"/>
      <w:bookmarkStart w:id="2905" w:name="_Toc38442592"/>
      <w:bookmarkStart w:id="2906" w:name="_Toc38442923"/>
      <w:bookmarkStart w:id="2907" w:name="_Toc38443254"/>
      <w:bookmarkStart w:id="2908" w:name="_Toc38443585"/>
      <w:bookmarkStart w:id="2909" w:name="_Toc38443915"/>
      <w:bookmarkStart w:id="2910" w:name="_Toc38438383"/>
      <w:bookmarkStart w:id="2911" w:name="_Toc38438720"/>
      <w:bookmarkStart w:id="2912" w:name="_Toc38439057"/>
      <w:bookmarkStart w:id="2913" w:name="_Toc38439394"/>
      <w:bookmarkStart w:id="2914" w:name="_Toc38439731"/>
      <w:bookmarkStart w:id="2915" w:name="_Toc38440068"/>
      <w:bookmarkStart w:id="2916" w:name="_Toc38440405"/>
      <w:bookmarkStart w:id="2917" w:name="_Toc38440937"/>
      <w:bookmarkStart w:id="2918" w:name="_Toc38441269"/>
      <w:bookmarkStart w:id="2919" w:name="_Toc38441601"/>
      <w:bookmarkStart w:id="2920" w:name="_Toc38441929"/>
      <w:bookmarkStart w:id="2921" w:name="_Toc38442261"/>
      <w:bookmarkStart w:id="2922" w:name="_Toc38442593"/>
      <w:bookmarkStart w:id="2923" w:name="_Toc38442924"/>
      <w:bookmarkStart w:id="2924" w:name="_Toc38443255"/>
      <w:bookmarkStart w:id="2925" w:name="_Toc38443586"/>
      <w:bookmarkStart w:id="2926" w:name="_Toc38443916"/>
      <w:bookmarkStart w:id="2927" w:name="_Toc38438384"/>
      <w:bookmarkStart w:id="2928" w:name="_Toc38438721"/>
      <w:bookmarkStart w:id="2929" w:name="_Toc38439058"/>
      <w:bookmarkStart w:id="2930" w:name="_Toc38439395"/>
      <w:bookmarkStart w:id="2931" w:name="_Toc38439732"/>
      <w:bookmarkStart w:id="2932" w:name="_Toc38440069"/>
      <w:bookmarkStart w:id="2933" w:name="_Toc38440406"/>
      <w:bookmarkStart w:id="2934" w:name="_Toc38440938"/>
      <w:bookmarkStart w:id="2935" w:name="_Toc38441270"/>
      <w:bookmarkStart w:id="2936" w:name="_Toc38441602"/>
      <w:bookmarkStart w:id="2937" w:name="_Toc38441930"/>
      <w:bookmarkStart w:id="2938" w:name="_Toc38442262"/>
      <w:bookmarkStart w:id="2939" w:name="_Toc38442594"/>
      <w:bookmarkStart w:id="2940" w:name="_Toc38442925"/>
      <w:bookmarkStart w:id="2941" w:name="_Toc38443256"/>
      <w:bookmarkStart w:id="2942" w:name="_Toc38443587"/>
      <w:bookmarkStart w:id="2943" w:name="_Toc38443917"/>
      <w:bookmarkStart w:id="2944" w:name="_Toc38438385"/>
      <w:bookmarkStart w:id="2945" w:name="_Toc38438722"/>
      <w:bookmarkStart w:id="2946" w:name="_Toc38439059"/>
      <w:bookmarkStart w:id="2947" w:name="_Toc38439396"/>
      <w:bookmarkStart w:id="2948" w:name="_Toc38439733"/>
      <w:bookmarkStart w:id="2949" w:name="_Toc38440070"/>
      <w:bookmarkStart w:id="2950" w:name="_Toc38440407"/>
      <w:bookmarkStart w:id="2951" w:name="_Toc38440939"/>
      <w:bookmarkStart w:id="2952" w:name="_Toc38441271"/>
      <w:bookmarkStart w:id="2953" w:name="_Toc38441603"/>
      <w:bookmarkStart w:id="2954" w:name="_Toc38441931"/>
      <w:bookmarkStart w:id="2955" w:name="_Toc38442263"/>
      <w:bookmarkStart w:id="2956" w:name="_Toc38442595"/>
      <w:bookmarkStart w:id="2957" w:name="_Toc38442926"/>
      <w:bookmarkStart w:id="2958" w:name="_Toc38443257"/>
      <w:bookmarkStart w:id="2959" w:name="_Toc38443588"/>
      <w:bookmarkStart w:id="2960" w:name="_Toc38443918"/>
      <w:bookmarkStart w:id="2961" w:name="_Toc38438386"/>
      <w:bookmarkStart w:id="2962" w:name="_Toc38438723"/>
      <w:bookmarkStart w:id="2963" w:name="_Toc38439060"/>
      <w:bookmarkStart w:id="2964" w:name="_Toc38439397"/>
      <w:bookmarkStart w:id="2965" w:name="_Toc38439734"/>
      <w:bookmarkStart w:id="2966" w:name="_Toc38440071"/>
      <w:bookmarkStart w:id="2967" w:name="_Toc38440408"/>
      <w:bookmarkStart w:id="2968" w:name="_Toc38440940"/>
      <w:bookmarkStart w:id="2969" w:name="_Toc38441272"/>
      <w:bookmarkStart w:id="2970" w:name="_Toc38441604"/>
      <w:bookmarkStart w:id="2971" w:name="_Toc38441932"/>
      <w:bookmarkStart w:id="2972" w:name="_Toc38442264"/>
      <w:bookmarkStart w:id="2973" w:name="_Toc38442596"/>
      <w:bookmarkStart w:id="2974" w:name="_Toc38442927"/>
      <w:bookmarkStart w:id="2975" w:name="_Toc38443258"/>
      <w:bookmarkStart w:id="2976" w:name="_Toc38443589"/>
      <w:bookmarkStart w:id="2977" w:name="_Toc38443919"/>
      <w:bookmarkStart w:id="2978" w:name="_Toc38438387"/>
      <w:bookmarkStart w:id="2979" w:name="_Toc38438724"/>
      <w:bookmarkStart w:id="2980" w:name="_Toc38439061"/>
      <w:bookmarkStart w:id="2981" w:name="_Toc38439398"/>
      <w:bookmarkStart w:id="2982" w:name="_Toc38439735"/>
      <w:bookmarkStart w:id="2983" w:name="_Toc38440072"/>
      <w:bookmarkStart w:id="2984" w:name="_Toc38440409"/>
      <w:bookmarkStart w:id="2985" w:name="_Toc38440941"/>
      <w:bookmarkStart w:id="2986" w:name="_Toc38441273"/>
      <w:bookmarkStart w:id="2987" w:name="_Toc38441605"/>
      <w:bookmarkStart w:id="2988" w:name="_Toc38441933"/>
      <w:bookmarkStart w:id="2989" w:name="_Toc38442265"/>
      <w:bookmarkStart w:id="2990" w:name="_Toc38442597"/>
      <w:bookmarkStart w:id="2991" w:name="_Toc38442928"/>
      <w:bookmarkStart w:id="2992" w:name="_Toc38443259"/>
      <w:bookmarkStart w:id="2993" w:name="_Toc38443590"/>
      <w:bookmarkStart w:id="2994" w:name="_Toc38443920"/>
      <w:bookmarkStart w:id="2995" w:name="_Toc38438388"/>
      <w:bookmarkStart w:id="2996" w:name="_Toc38438725"/>
      <w:bookmarkStart w:id="2997" w:name="_Toc38439062"/>
      <w:bookmarkStart w:id="2998" w:name="_Toc38439399"/>
      <w:bookmarkStart w:id="2999" w:name="_Toc38439736"/>
      <w:bookmarkStart w:id="3000" w:name="_Toc38440073"/>
      <w:bookmarkStart w:id="3001" w:name="_Toc38440410"/>
      <w:bookmarkStart w:id="3002" w:name="_Toc38440942"/>
      <w:bookmarkStart w:id="3003" w:name="_Toc38441274"/>
      <w:bookmarkStart w:id="3004" w:name="_Toc38441606"/>
      <w:bookmarkStart w:id="3005" w:name="_Toc38441934"/>
      <w:bookmarkStart w:id="3006" w:name="_Toc38442266"/>
      <w:bookmarkStart w:id="3007" w:name="_Toc38442598"/>
      <w:bookmarkStart w:id="3008" w:name="_Toc38442929"/>
      <w:bookmarkStart w:id="3009" w:name="_Toc38443260"/>
      <w:bookmarkStart w:id="3010" w:name="_Toc38443591"/>
      <w:bookmarkStart w:id="3011" w:name="_Toc38443921"/>
      <w:bookmarkStart w:id="3012" w:name="_Toc38438389"/>
      <w:bookmarkStart w:id="3013" w:name="_Toc38438726"/>
      <w:bookmarkStart w:id="3014" w:name="_Toc38439063"/>
      <w:bookmarkStart w:id="3015" w:name="_Toc38439400"/>
      <w:bookmarkStart w:id="3016" w:name="_Toc38439737"/>
      <w:bookmarkStart w:id="3017" w:name="_Toc38440074"/>
      <w:bookmarkStart w:id="3018" w:name="_Toc38440411"/>
      <w:bookmarkStart w:id="3019" w:name="_Toc38440943"/>
      <w:bookmarkStart w:id="3020" w:name="_Toc38441275"/>
      <w:bookmarkStart w:id="3021" w:name="_Toc38441607"/>
      <w:bookmarkStart w:id="3022" w:name="_Toc38441935"/>
      <w:bookmarkStart w:id="3023" w:name="_Toc38442267"/>
      <w:bookmarkStart w:id="3024" w:name="_Toc38442599"/>
      <w:bookmarkStart w:id="3025" w:name="_Toc38442930"/>
      <w:bookmarkStart w:id="3026" w:name="_Toc38443261"/>
      <w:bookmarkStart w:id="3027" w:name="_Toc38443592"/>
      <w:bookmarkStart w:id="3028" w:name="_Toc38443922"/>
      <w:bookmarkStart w:id="3029" w:name="_Toc38438390"/>
      <w:bookmarkStart w:id="3030" w:name="_Toc38438727"/>
      <w:bookmarkStart w:id="3031" w:name="_Toc38439064"/>
      <w:bookmarkStart w:id="3032" w:name="_Toc38439401"/>
      <w:bookmarkStart w:id="3033" w:name="_Toc38439738"/>
      <w:bookmarkStart w:id="3034" w:name="_Toc38440075"/>
      <w:bookmarkStart w:id="3035" w:name="_Toc38440412"/>
      <w:bookmarkStart w:id="3036" w:name="_Toc38440944"/>
      <w:bookmarkStart w:id="3037" w:name="_Toc38441276"/>
      <w:bookmarkStart w:id="3038" w:name="_Toc38441608"/>
      <w:bookmarkStart w:id="3039" w:name="_Toc38441936"/>
      <w:bookmarkStart w:id="3040" w:name="_Toc38442268"/>
      <w:bookmarkStart w:id="3041" w:name="_Toc38442600"/>
      <w:bookmarkStart w:id="3042" w:name="_Toc38442931"/>
      <w:bookmarkStart w:id="3043" w:name="_Toc38443262"/>
      <w:bookmarkStart w:id="3044" w:name="_Toc38443593"/>
      <w:bookmarkStart w:id="3045" w:name="_Toc38443923"/>
      <w:bookmarkStart w:id="3046" w:name="_Toc38438391"/>
      <w:bookmarkStart w:id="3047" w:name="_Toc38438728"/>
      <w:bookmarkStart w:id="3048" w:name="_Toc38439065"/>
      <w:bookmarkStart w:id="3049" w:name="_Toc38439402"/>
      <w:bookmarkStart w:id="3050" w:name="_Toc38439739"/>
      <w:bookmarkStart w:id="3051" w:name="_Toc38440076"/>
      <w:bookmarkStart w:id="3052" w:name="_Toc38440413"/>
      <w:bookmarkStart w:id="3053" w:name="_Toc38440945"/>
      <w:bookmarkStart w:id="3054" w:name="_Toc38441277"/>
      <w:bookmarkStart w:id="3055" w:name="_Toc38441609"/>
      <w:bookmarkStart w:id="3056" w:name="_Toc38441937"/>
      <w:bookmarkStart w:id="3057" w:name="_Toc38442269"/>
      <w:bookmarkStart w:id="3058" w:name="_Toc38442601"/>
      <w:bookmarkStart w:id="3059" w:name="_Toc38442932"/>
      <w:bookmarkStart w:id="3060" w:name="_Toc38443263"/>
      <w:bookmarkStart w:id="3061" w:name="_Toc38443594"/>
      <w:bookmarkStart w:id="3062" w:name="_Toc38443924"/>
      <w:bookmarkStart w:id="3063" w:name="_Toc38438392"/>
      <w:bookmarkStart w:id="3064" w:name="_Toc38438729"/>
      <w:bookmarkStart w:id="3065" w:name="_Toc38439066"/>
      <w:bookmarkStart w:id="3066" w:name="_Toc38439403"/>
      <w:bookmarkStart w:id="3067" w:name="_Toc38439740"/>
      <w:bookmarkStart w:id="3068" w:name="_Toc38440077"/>
      <w:bookmarkStart w:id="3069" w:name="_Toc38440414"/>
      <w:bookmarkStart w:id="3070" w:name="_Toc38440946"/>
      <w:bookmarkStart w:id="3071" w:name="_Toc38441278"/>
      <w:bookmarkStart w:id="3072" w:name="_Toc38441610"/>
      <w:bookmarkStart w:id="3073" w:name="_Toc38441938"/>
      <w:bookmarkStart w:id="3074" w:name="_Toc38442270"/>
      <w:bookmarkStart w:id="3075" w:name="_Toc38442602"/>
      <w:bookmarkStart w:id="3076" w:name="_Toc38442933"/>
      <w:bookmarkStart w:id="3077" w:name="_Toc38443264"/>
      <w:bookmarkStart w:id="3078" w:name="_Toc38443595"/>
      <w:bookmarkStart w:id="3079" w:name="_Toc38443925"/>
      <w:bookmarkStart w:id="3080" w:name="_Toc38438393"/>
      <w:bookmarkStart w:id="3081" w:name="_Toc38438730"/>
      <w:bookmarkStart w:id="3082" w:name="_Toc38439067"/>
      <w:bookmarkStart w:id="3083" w:name="_Toc38439404"/>
      <w:bookmarkStart w:id="3084" w:name="_Toc38439741"/>
      <w:bookmarkStart w:id="3085" w:name="_Toc38440078"/>
      <w:bookmarkStart w:id="3086" w:name="_Toc38440415"/>
      <w:bookmarkStart w:id="3087" w:name="_Toc38440947"/>
      <w:bookmarkStart w:id="3088" w:name="_Toc38441279"/>
      <w:bookmarkStart w:id="3089" w:name="_Toc38441611"/>
      <w:bookmarkStart w:id="3090" w:name="_Toc38441939"/>
      <w:bookmarkStart w:id="3091" w:name="_Toc38442271"/>
      <w:bookmarkStart w:id="3092" w:name="_Toc38442603"/>
      <w:bookmarkStart w:id="3093" w:name="_Toc38442934"/>
      <w:bookmarkStart w:id="3094" w:name="_Toc38443265"/>
      <w:bookmarkStart w:id="3095" w:name="_Toc38443596"/>
      <w:bookmarkStart w:id="3096" w:name="_Toc38443926"/>
      <w:bookmarkStart w:id="3097" w:name="_Toc38438394"/>
      <w:bookmarkStart w:id="3098" w:name="_Toc38438731"/>
      <w:bookmarkStart w:id="3099" w:name="_Toc38439068"/>
      <w:bookmarkStart w:id="3100" w:name="_Toc38439405"/>
      <w:bookmarkStart w:id="3101" w:name="_Toc38439742"/>
      <w:bookmarkStart w:id="3102" w:name="_Toc38440079"/>
      <w:bookmarkStart w:id="3103" w:name="_Toc38440416"/>
      <w:bookmarkStart w:id="3104" w:name="_Toc38440948"/>
      <w:bookmarkStart w:id="3105" w:name="_Toc38441280"/>
      <w:bookmarkStart w:id="3106" w:name="_Toc38441612"/>
      <w:bookmarkStart w:id="3107" w:name="_Toc38441940"/>
      <w:bookmarkStart w:id="3108" w:name="_Toc38442272"/>
      <w:bookmarkStart w:id="3109" w:name="_Toc38442604"/>
      <w:bookmarkStart w:id="3110" w:name="_Toc38442935"/>
      <w:bookmarkStart w:id="3111" w:name="_Toc38443266"/>
      <w:bookmarkStart w:id="3112" w:name="_Toc38443597"/>
      <w:bookmarkStart w:id="3113" w:name="_Toc38443927"/>
      <w:bookmarkStart w:id="3114" w:name="_Toc38438395"/>
      <w:bookmarkStart w:id="3115" w:name="_Toc38438732"/>
      <w:bookmarkStart w:id="3116" w:name="_Toc38439069"/>
      <w:bookmarkStart w:id="3117" w:name="_Toc38439406"/>
      <w:bookmarkStart w:id="3118" w:name="_Toc38439743"/>
      <w:bookmarkStart w:id="3119" w:name="_Toc38440080"/>
      <w:bookmarkStart w:id="3120" w:name="_Toc38440417"/>
      <w:bookmarkStart w:id="3121" w:name="_Toc38440949"/>
      <w:bookmarkStart w:id="3122" w:name="_Toc38441281"/>
      <w:bookmarkStart w:id="3123" w:name="_Toc38441613"/>
      <w:bookmarkStart w:id="3124" w:name="_Toc38441941"/>
      <w:bookmarkStart w:id="3125" w:name="_Toc38442273"/>
      <w:bookmarkStart w:id="3126" w:name="_Toc38442605"/>
      <w:bookmarkStart w:id="3127" w:name="_Toc38442936"/>
      <w:bookmarkStart w:id="3128" w:name="_Toc38443267"/>
      <w:bookmarkStart w:id="3129" w:name="_Toc38443598"/>
      <w:bookmarkStart w:id="3130" w:name="_Toc38443928"/>
      <w:bookmarkStart w:id="3131" w:name="_Toc38438396"/>
      <w:bookmarkStart w:id="3132" w:name="_Toc38438733"/>
      <w:bookmarkStart w:id="3133" w:name="_Toc38439070"/>
      <w:bookmarkStart w:id="3134" w:name="_Toc38439407"/>
      <w:bookmarkStart w:id="3135" w:name="_Toc38439744"/>
      <w:bookmarkStart w:id="3136" w:name="_Toc38440081"/>
      <w:bookmarkStart w:id="3137" w:name="_Toc38440418"/>
      <w:bookmarkStart w:id="3138" w:name="_Toc38440950"/>
      <w:bookmarkStart w:id="3139" w:name="_Toc38441282"/>
      <w:bookmarkStart w:id="3140" w:name="_Toc38441614"/>
      <w:bookmarkStart w:id="3141" w:name="_Toc38441942"/>
      <w:bookmarkStart w:id="3142" w:name="_Toc38442274"/>
      <w:bookmarkStart w:id="3143" w:name="_Toc38442606"/>
      <w:bookmarkStart w:id="3144" w:name="_Toc38442937"/>
      <w:bookmarkStart w:id="3145" w:name="_Toc38443268"/>
      <w:bookmarkStart w:id="3146" w:name="_Toc38443599"/>
      <w:bookmarkStart w:id="3147" w:name="_Toc38443929"/>
      <w:bookmarkStart w:id="3148" w:name="_Toc38438397"/>
      <w:bookmarkStart w:id="3149" w:name="_Toc38438734"/>
      <w:bookmarkStart w:id="3150" w:name="_Toc38439071"/>
      <w:bookmarkStart w:id="3151" w:name="_Toc38439408"/>
      <w:bookmarkStart w:id="3152" w:name="_Toc38439745"/>
      <w:bookmarkStart w:id="3153" w:name="_Toc38440082"/>
      <w:bookmarkStart w:id="3154" w:name="_Toc38440419"/>
      <w:bookmarkStart w:id="3155" w:name="_Toc38440951"/>
      <w:bookmarkStart w:id="3156" w:name="_Toc38441283"/>
      <w:bookmarkStart w:id="3157" w:name="_Toc38441615"/>
      <w:bookmarkStart w:id="3158" w:name="_Toc38441943"/>
      <w:bookmarkStart w:id="3159" w:name="_Toc38442275"/>
      <w:bookmarkStart w:id="3160" w:name="_Toc38442607"/>
      <w:bookmarkStart w:id="3161" w:name="_Toc38442938"/>
      <w:bookmarkStart w:id="3162" w:name="_Toc38443269"/>
      <w:bookmarkStart w:id="3163" w:name="_Toc38443600"/>
      <w:bookmarkStart w:id="3164" w:name="_Toc38443930"/>
      <w:bookmarkStart w:id="3165" w:name="_Toc38438398"/>
      <w:bookmarkStart w:id="3166" w:name="_Toc38438735"/>
      <w:bookmarkStart w:id="3167" w:name="_Toc38439072"/>
      <w:bookmarkStart w:id="3168" w:name="_Toc38439409"/>
      <w:bookmarkStart w:id="3169" w:name="_Toc38439746"/>
      <w:bookmarkStart w:id="3170" w:name="_Toc38440083"/>
      <w:bookmarkStart w:id="3171" w:name="_Toc38440420"/>
      <w:bookmarkStart w:id="3172" w:name="_Toc38440952"/>
      <w:bookmarkStart w:id="3173" w:name="_Toc38441284"/>
      <w:bookmarkStart w:id="3174" w:name="_Toc38441616"/>
      <w:bookmarkStart w:id="3175" w:name="_Toc38441944"/>
      <w:bookmarkStart w:id="3176" w:name="_Toc38442276"/>
      <w:bookmarkStart w:id="3177" w:name="_Toc38442608"/>
      <w:bookmarkStart w:id="3178" w:name="_Toc38442939"/>
      <w:bookmarkStart w:id="3179" w:name="_Toc38443270"/>
      <w:bookmarkStart w:id="3180" w:name="_Toc38443601"/>
      <w:bookmarkStart w:id="3181" w:name="_Toc38443931"/>
      <w:bookmarkStart w:id="3182" w:name="_Toc38438400"/>
      <w:bookmarkStart w:id="3183" w:name="_Toc38438737"/>
      <w:bookmarkStart w:id="3184" w:name="_Toc38439074"/>
      <w:bookmarkStart w:id="3185" w:name="_Toc38439411"/>
      <w:bookmarkStart w:id="3186" w:name="_Toc38439748"/>
      <w:bookmarkStart w:id="3187" w:name="_Toc38440085"/>
      <w:bookmarkStart w:id="3188" w:name="_Toc38440422"/>
      <w:bookmarkStart w:id="3189" w:name="_Toc38440954"/>
      <w:bookmarkStart w:id="3190" w:name="_Toc38441286"/>
      <w:bookmarkStart w:id="3191" w:name="_Toc38441618"/>
      <w:bookmarkStart w:id="3192" w:name="_Toc38441946"/>
      <w:bookmarkStart w:id="3193" w:name="_Toc38442278"/>
      <w:bookmarkStart w:id="3194" w:name="_Toc38442610"/>
      <w:bookmarkStart w:id="3195" w:name="_Toc38442941"/>
      <w:bookmarkStart w:id="3196" w:name="_Toc38443272"/>
      <w:bookmarkStart w:id="3197" w:name="_Toc38443603"/>
      <w:bookmarkStart w:id="3198" w:name="_Toc38443933"/>
      <w:bookmarkStart w:id="3199" w:name="_Toc38438401"/>
      <w:bookmarkStart w:id="3200" w:name="_Toc38438738"/>
      <w:bookmarkStart w:id="3201" w:name="_Toc38439075"/>
      <w:bookmarkStart w:id="3202" w:name="_Toc38439412"/>
      <w:bookmarkStart w:id="3203" w:name="_Toc38439749"/>
      <w:bookmarkStart w:id="3204" w:name="_Toc38440086"/>
      <w:bookmarkStart w:id="3205" w:name="_Toc38440423"/>
      <w:bookmarkStart w:id="3206" w:name="_Toc38440955"/>
      <w:bookmarkStart w:id="3207" w:name="_Toc38441287"/>
      <w:bookmarkStart w:id="3208" w:name="_Toc38441619"/>
      <w:bookmarkStart w:id="3209" w:name="_Toc38441947"/>
      <w:bookmarkStart w:id="3210" w:name="_Toc38442279"/>
      <w:bookmarkStart w:id="3211" w:name="_Toc38442611"/>
      <w:bookmarkStart w:id="3212" w:name="_Toc38442942"/>
      <w:bookmarkStart w:id="3213" w:name="_Toc38443273"/>
      <w:bookmarkStart w:id="3214" w:name="_Toc38443604"/>
      <w:bookmarkStart w:id="3215" w:name="_Toc38443934"/>
      <w:bookmarkStart w:id="3216" w:name="_Toc38438402"/>
      <w:bookmarkStart w:id="3217" w:name="_Toc38438739"/>
      <w:bookmarkStart w:id="3218" w:name="_Toc38439076"/>
      <w:bookmarkStart w:id="3219" w:name="_Toc38439413"/>
      <w:bookmarkStart w:id="3220" w:name="_Toc38439750"/>
      <w:bookmarkStart w:id="3221" w:name="_Toc38440087"/>
      <w:bookmarkStart w:id="3222" w:name="_Toc38440424"/>
      <w:bookmarkStart w:id="3223" w:name="_Toc38440956"/>
      <w:bookmarkStart w:id="3224" w:name="_Toc38441288"/>
      <w:bookmarkStart w:id="3225" w:name="_Toc38441620"/>
      <w:bookmarkStart w:id="3226" w:name="_Toc38441948"/>
      <w:bookmarkStart w:id="3227" w:name="_Toc38442280"/>
      <w:bookmarkStart w:id="3228" w:name="_Toc38442612"/>
      <w:bookmarkStart w:id="3229" w:name="_Toc38442943"/>
      <w:bookmarkStart w:id="3230" w:name="_Toc38443274"/>
      <w:bookmarkStart w:id="3231" w:name="_Toc38443605"/>
      <w:bookmarkStart w:id="3232" w:name="_Toc38443935"/>
      <w:bookmarkStart w:id="3233" w:name="_Toc38438404"/>
      <w:bookmarkStart w:id="3234" w:name="_Toc38438741"/>
      <w:bookmarkStart w:id="3235" w:name="_Toc38439078"/>
      <w:bookmarkStart w:id="3236" w:name="_Toc38439415"/>
      <w:bookmarkStart w:id="3237" w:name="_Toc38439752"/>
      <w:bookmarkStart w:id="3238" w:name="_Toc38440089"/>
      <w:bookmarkStart w:id="3239" w:name="_Toc38440426"/>
      <w:bookmarkStart w:id="3240" w:name="_Toc38440958"/>
      <w:bookmarkStart w:id="3241" w:name="_Toc38441290"/>
      <w:bookmarkStart w:id="3242" w:name="_Toc38441622"/>
      <w:bookmarkStart w:id="3243" w:name="_Toc38441950"/>
      <w:bookmarkStart w:id="3244" w:name="_Toc38442282"/>
      <w:bookmarkStart w:id="3245" w:name="_Toc38442614"/>
      <w:bookmarkStart w:id="3246" w:name="_Toc38442945"/>
      <w:bookmarkStart w:id="3247" w:name="_Toc38443276"/>
      <w:bookmarkStart w:id="3248" w:name="_Toc38443607"/>
      <w:bookmarkStart w:id="3249" w:name="_Toc38443937"/>
      <w:bookmarkStart w:id="3250" w:name="_Toc38438405"/>
      <w:bookmarkStart w:id="3251" w:name="_Toc38438742"/>
      <w:bookmarkStart w:id="3252" w:name="_Toc38439079"/>
      <w:bookmarkStart w:id="3253" w:name="_Toc38439416"/>
      <w:bookmarkStart w:id="3254" w:name="_Toc38439753"/>
      <w:bookmarkStart w:id="3255" w:name="_Toc38440090"/>
      <w:bookmarkStart w:id="3256" w:name="_Toc38440427"/>
      <w:bookmarkStart w:id="3257" w:name="_Toc38440959"/>
      <w:bookmarkStart w:id="3258" w:name="_Toc38441291"/>
      <w:bookmarkStart w:id="3259" w:name="_Toc38441623"/>
      <w:bookmarkStart w:id="3260" w:name="_Toc38441951"/>
      <w:bookmarkStart w:id="3261" w:name="_Toc38442283"/>
      <w:bookmarkStart w:id="3262" w:name="_Toc38442615"/>
      <w:bookmarkStart w:id="3263" w:name="_Toc38442946"/>
      <w:bookmarkStart w:id="3264" w:name="_Toc38443277"/>
      <w:bookmarkStart w:id="3265" w:name="_Toc38443608"/>
      <w:bookmarkStart w:id="3266" w:name="_Toc38443938"/>
      <w:bookmarkStart w:id="3267" w:name="_Toc38438406"/>
      <w:bookmarkStart w:id="3268" w:name="_Toc38438743"/>
      <w:bookmarkStart w:id="3269" w:name="_Toc38439080"/>
      <w:bookmarkStart w:id="3270" w:name="_Toc38439417"/>
      <w:bookmarkStart w:id="3271" w:name="_Toc38439754"/>
      <w:bookmarkStart w:id="3272" w:name="_Toc38440091"/>
      <w:bookmarkStart w:id="3273" w:name="_Toc38440428"/>
      <w:bookmarkStart w:id="3274" w:name="_Toc38440960"/>
      <w:bookmarkStart w:id="3275" w:name="_Toc38441292"/>
      <w:bookmarkStart w:id="3276" w:name="_Toc38441624"/>
      <w:bookmarkStart w:id="3277" w:name="_Toc38441952"/>
      <w:bookmarkStart w:id="3278" w:name="_Toc38442284"/>
      <w:bookmarkStart w:id="3279" w:name="_Toc38442616"/>
      <w:bookmarkStart w:id="3280" w:name="_Toc38442947"/>
      <w:bookmarkStart w:id="3281" w:name="_Toc38443278"/>
      <w:bookmarkStart w:id="3282" w:name="_Toc38443609"/>
      <w:bookmarkStart w:id="3283" w:name="_Toc38443939"/>
      <w:bookmarkStart w:id="3284" w:name="_Toc38438407"/>
      <w:bookmarkStart w:id="3285" w:name="_Toc38438744"/>
      <w:bookmarkStart w:id="3286" w:name="_Toc38439081"/>
      <w:bookmarkStart w:id="3287" w:name="_Toc38439418"/>
      <w:bookmarkStart w:id="3288" w:name="_Toc38439755"/>
      <w:bookmarkStart w:id="3289" w:name="_Toc38440092"/>
      <w:bookmarkStart w:id="3290" w:name="_Toc38440429"/>
      <w:bookmarkStart w:id="3291" w:name="_Toc38440961"/>
      <w:bookmarkStart w:id="3292" w:name="_Toc38441293"/>
      <w:bookmarkStart w:id="3293" w:name="_Toc38441625"/>
      <w:bookmarkStart w:id="3294" w:name="_Toc38441953"/>
      <w:bookmarkStart w:id="3295" w:name="_Toc38442285"/>
      <w:bookmarkStart w:id="3296" w:name="_Toc38442617"/>
      <w:bookmarkStart w:id="3297" w:name="_Toc38442948"/>
      <w:bookmarkStart w:id="3298" w:name="_Toc38443279"/>
      <w:bookmarkStart w:id="3299" w:name="_Toc38443610"/>
      <w:bookmarkStart w:id="3300" w:name="_Toc38443940"/>
      <w:bookmarkStart w:id="3301" w:name="_Toc38438408"/>
      <w:bookmarkStart w:id="3302" w:name="_Toc38438745"/>
      <w:bookmarkStart w:id="3303" w:name="_Toc38439082"/>
      <w:bookmarkStart w:id="3304" w:name="_Toc38439419"/>
      <w:bookmarkStart w:id="3305" w:name="_Toc38439756"/>
      <w:bookmarkStart w:id="3306" w:name="_Toc38440093"/>
      <w:bookmarkStart w:id="3307" w:name="_Toc38440430"/>
      <w:bookmarkStart w:id="3308" w:name="_Toc38440962"/>
      <w:bookmarkStart w:id="3309" w:name="_Toc38441294"/>
      <w:bookmarkStart w:id="3310" w:name="_Toc38441626"/>
      <w:bookmarkStart w:id="3311" w:name="_Toc38441954"/>
      <w:bookmarkStart w:id="3312" w:name="_Toc38442286"/>
      <w:bookmarkStart w:id="3313" w:name="_Toc38442618"/>
      <w:bookmarkStart w:id="3314" w:name="_Toc38442949"/>
      <w:bookmarkStart w:id="3315" w:name="_Toc38443280"/>
      <w:bookmarkStart w:id="3316" w:name="_Toc38443611"/>
      <w:bookmarkStart w:id="3317" w:name="_Toc38443941"/>
      <w:bookmarkStart w:id="3318" w:name="_Toc38438409"/>
      <w:bookmarkStart w:id="3319" w:name="_Toc38438746"/>
      <w:bookmarkStart w:id="3320" w:name="_Toc38439083"/>
      <w:bookmarkStart w:id="3321" w:name="_Toc38439420"/>
      <w:bookmarkStart w:id="3322" w:name="_Toc38439757"/>
      <w:bookmarkStart w:id="3323" w:name="_Toc38440094"/>
      <w:bookmarkStart w:id="3324" w:name="_Toc38440431"/>
      <w:bookmarkStart w:id="3325" w:name="_Toc38440963"/>
      <w:bookmarkStart w:id="3326" w:name="_Toc38441295"/>
      <w:bookmarkStart w:id="3327" w:name="_Toc38441627"/>
      <w:bookmarkStart w:id="3328" w:name="_Toc38441955"/>
      <w:bookmarkStart w:id="3329" w:name="_Toc38442287"/>
      <w:bookmarkStart w:id="3330" w:name="_Toc38442619"/>
      <w:bookmarkStart w:id="3331" w:name="_Toc38442950"/>
      <w:bookmarkStart w:id="3332" w:name="_Toc38443281"/>
      <w:bookmarkStart w:id="3333" w:name="_Toc38443612"/>
      <w:bookmarkStart w:id="3334" w:name="_Toc38443942"/>
      <w:bookmarkStart w:id="3335" w:name="_Toc38438410"/>
      <w:bookmarkStart w:id="3336" w:name="_Toc38438747"/>
      <w:bookmarkStart w:id="3337" w:name="_Toc38439084"/>
      <w:bookmarkStart w:id="3338" w:name="_Toc38439421"/>
      <w:bookmarkStart w:id="3339" w:name="_Toc38439758"/>
      <w:bookmarkStart w:id="3340" w:name="_Toc38440095"/>
      <w:bookmarkStart w:id="3341" w:name="_Toc38440432"/>
      <w:bookmarkStart w:id="3342" w:name="_Toc38440964"/>
      <w:bookmarkStart w:id="3343" w:name="_Toc38441296"/>
      <w:bookmarkStart w:id="3344" w:name="_Toc38441628"/>
      <w:bookmarkStart w:id="3345" w:name="_Toc38441956"/>
      <w:bookmarkStart w:id="3346" w:name="_Toc38442288"/>
      <w:bookmarkStart w:id="3347" w:name="_Toc38442620"/>
      <w:bookmarkStart w:id="3348" w:name="_Toc38442951"/>
      <w:bookmarkStart w:id="3349" w:name="_Toc38443282"/>
      <w:bookmarkStart w:id="3350" w:name="_Toc38443613"/>
      <w:bookmarkStart w:id="3351" w:name="_Toc38443943"/>
      <w:bookmarkStart w:id="3352" w:name="_Toc38438411"/>
      <w:bookmarkStart w:id="3353" w:name="_Toc38438748"/>
      <w:bookmarkStart w:id="3354" w:name="_Toc38439085"/>
      <w:bookmarkStart w:id="3355" w:name="_Toc38439422"/>
      <w:bookmarkStart w:id="3356" w:name="_Toc38439759"/>
      <w:bookmarkStart w:id="3357" w:name="_Toc38440096"/>
      <w:bookmarkStart w:id="3358" w:name="_Toc38440433"/>
      <w:bookmarkStart w:id="3359" w:name="_Toc38440965"/>
      <w:bookmarkStart w:id="3360" w:name="_Toc38441297"/>
      <w:bookmarkStart w:id="3361" w:name="_Toc38441629"/>
      <w:bookmarkStart w:id="3362" w:name="_Toc38441957"/>
      <w:bookmarkStart w:id="3363" w:name="_Toc38442289"/>
      <w:bookmarkStart w:id="3364" w:name="_Toc38442621"/>
      <w:bookmarkStart w:id="3365" w:name="_Toc38442952"/>
      <w:bookmarkStart w:id="3366" w:name="_Toc38443283"/>
      <w:bookmarkStart w:id="3367" w:name="_Toc38443614"/>
      <w:bookmarkStart w:id="3368" w:name="_Toc38443944"/>
      <w:bookmarkStart w:id="3369" w:name="_Toc38438412"/>
      <w:bookmarkStart w:id="3370" w:name="_Toc38438749"/>
      <w:bookmarkStart w:id="3371" w:name="_Toc38439086"/>
      <w:bookmarkStart w:id="3372" w:name="_Toc38439423"/>
      <w:bookmarkStart w:id="3373" w:name="_Toc38439760"/>
      <w:bookmarkStart w:id="3374" w:name="_Toc38440097"/>
      <w:bookmarkStart w:id="3375" w:name="_Toc38440434"/>
      <w:bookmarkStart w:id="3376" w:name="_Toc38440966"/>
      <w:bookmarkStart w:id="3377" w:name="_Toc38441298"/>
      <w:bookmarkStart w:id="3378" w:name="_Toc38441630"/>
      <w:bookmarkStart w:id="3379" w:name="_Toc38441958"/>
      <w:bookmarkStart w:id="3380" w:name="_Toc38442290"/>
      <w:bookmarkStart w:id="3381" w:name="_Toc38442622"/>
      <w:bookmarkStart w:id="3382" w:name="_Toc38442953"/>
      <w:bookmarkStart w:id="3383" w:name="_Toc38443284"/>
      <w:bookmarkStart w:id="3384" w:name="_Toc38443615"/>
      <w:bookmarkStart w:id="3385" w:name="_Toc38443945"/>
      <w:bookmarkStart w:id="3386" w:name="_Toc38438413"/>
      <w:bookmarkStart w:id="3387" w:name="_Toc38438750"/>
      <w:bookmarkStart w:id="3388" w:name="_Toc38439087"/>
      <w:bookmarkStart w:id="3389" w:name="_Toc38439424"/>
      <w:bookmarkStart w:id="3390" w:name="_Toc38439761"/>
      <w:bookmarkStart w:id="3391" w:name="_Toc38440098"/>
      <w:bookmarkStart w:id="3392" w:name="_Toc38440435"/>
      <w:bookmarkStart w:id="3393" w:name="_Toc38440967"/>
      <w:bookmarkStart w:id="3394" w:name="_Toc38441299"/>
      <w:bookmarkStart w:id="3395" w:name="_Toc38441631"/>
      <w:bookmarkStart w:id="3396" w:name="_Toc38441959"/>
      <w:bookmarkStart w:id="3397" w:name="_Toc38442291"/>
      <w:bookmarkStart w:id="3398" w:name="_Toc38442623"/>
      <w:bookmarkStart w:id="3399" w:name="_Toc38442954"/>
      <w:bookmarkStart w:id="3400" w:name="_Toc38443285"/>
      <w:bookmarkStart w:id="3401" w:name="_Toc38443616"/>
      <w:bookmarkStart w:id="3402" w:name="_Toc38443946"/>
      <w:bookmarkStart w:id="3403" w:name="_Toc38438414"/>
      <w:bookmarkStart w:id="3404" w:name="_Toc38438751"/>
      <w:bookmarkStart w:id="3405" w:name="_Toc38439088"/>
      <w:bookmarkStart w:id="3406" w:name="_Toc38439425"/>
      <w:bookmarkStart w:id="3407" w:name="_Toc38439762"/>
      <w:bookmarkStart w:id="3408" w:name="_Toc38440099"/>
      <w:bookmarkStart w:id="3409" w:name="_Toc38440436"/>
      <w:bookmarkStart w:id="3410" w:name="_Toc38440968"/>
      <w:bookmarkStart w:id="3411" w:name="_Toc38441300"/>
      <w:bookmarkStart w:id="3412" w:name="_Toc38441632"/>
      <w:bookmarkStart w:id="3413" w:name="_Toc38441960"/>
      <w:bookmarkStart w:id="3414" w:name="_Toc38442292"/>
      <w:bookmarkStart w:id="3415" w:name="_Toc38442624"/>
      <w:bookmarkStart w:id="3416" w:name="_Toc38442955"/>
      <w:bookmarkStart w:id="3417" w:name="_Toc38443286"/>
      <w:bookmarkStart w:id="3418" w:name="_Toc38443617"/>
      <w:bookmarkStart w:id="3419" w:name="_Toc38443947"/>
      <w:bookmarkStart w:id="3420" w:name="_Toc38438415"/>
      <w:bookmarkStart w:id="3421" w:name="_Toc38438752"/>
      <w:bookmarkStart w:id="3422" w:name="_Toc38439089"/>
      <w:bookmarkStart w:id="3423" w:name="_Toc38439426"/>
      <w:bookmarkStart w:id="3424" w:name="_Toc38439763"/>
      <w:bookmarkStart w:id="3425" w:name="_Toc38440100"/>
      <w:bookmarkStart w:id="3426" w:name="_Toc38440437"/>
      <w:bookmarkStart w:id="3427" w:name="_Toc38440969"/>
      <w:bookmarkStart w:id="3428" w:name="_Toc38441301"/>
      <w:bookmarkStart w:id="3429" w:name="_Toc38441633"/>
      <w:bookmarkStart w:id="3430" w:name="_Toc38441961"/>
      <w:bookmarkStart w:id="3431" w:name="_Toc38442293"/>
      <w:bookmarkStart w:id="3432" w:name="_Toc38442625"/>
      <w:bookmarkStart w:id="3433" w:name="_Toc38442956"/>
      <w:bookmarkStart w:id="3434" w:name="_Toc38443287"/>
      <w:bookmarkStart w:id="3435" w:name="_Toc38443618"/>
      <w:bookmarkStart w:id="3436" w:name="_Toc38443948"/>
      <w:bookmarkStart w:id="3437" w:name="_Toc38438416"/>
      <w:bookmarkStart w:id="3438" w:name="_Toc38438753"/>
      <w:bookmarkStart w:id="3439" w:name="_Toc38439090"/>
      <w:bookmarkStart w:id="3440" w:name="_Toc38439427"/>
      <w:bookmarkStart w:id="3441" w:name="_Toc38439764"/>
      <w:bookmarkStart w:id="3442" w:name="_Toc38440101"/>
      <w:bookmarkStart w:id="3443" w:name="_Toc38440438"/>
      <w:bookmarkStart w:id="3444" w:name="_Toc38440970"/>
      <w:bookmarkStart w:id="3445" w:name="_Toc38441302"/>
      <w:bookmarkStart w:id="3446" w:name="_Toc38441634"/>
      <w:bookmarkStart w:id="3447" w:name="_Toc38441962"/>
      <w:bookmarkStart w:id="3448" w:name="_Toc38442294"/>
      <w:bookmarkStart w:id="3449" w:name="_Toc38442626"/>
      <w:bookmarkStart w:id="3450" w:name="_Toc38442957"/>
      <w:bookmarkStart w:id="3451" w:name="_Toc38443288"/>
      <w:bookmarkStart w:id="3452" w:name="_Toc38443619"/>
      <w:bookmarkStart w:id="3453" w:name="_Toc38443949"/>
      <w:bookmarkStart w:id="3454" w:name="_Toc38438417"/>
      <w:bookmarkStart w:id="3455" w:name="_Toc38438754"/>
      <w:bookmarkStart w:id="3456" w:name="_Toc38439091"/>
      <w:bookmarkStart w:id="3457" w:name="_Toc38439428"/>
      <w:bookmarkStart w:id="3458" w:name="_Toc38439765"/>
      <w:bookmarkStart w:id="3459" w:name="_Toc38440102"/>
      <w:bookmarkStart w:id="3460" w:name="_Toc38440439"/>
      <w:bookmarkStart w:id="3461" w:name="_Toc38440971"/>
      <w:bookmarkStart w:id="3462" w:name="_Toc38441303"/>
      <w:bookmarkStart w:id="3463" w:name="_Toc38441635"/>
      <w:bookmarkStart w:id="3464" w:name="_Toc38441963"/>
      <w:bookmarkStart w:id="3465" w:name="_Toc38442295"/>
      <w:bookmarkStart w:id="3466" w:name="_Toc38442627"/>
      <w:bookmarkStart w:id="3467" w:name="_Toc38442958"/>
      <w:bookmarkStart w:id="3468" w:name="_Toc38443289"/>
      <w:bookmarkStart w:id="3469" w:name="_Toc38443620"/>
      <w:bookmarkStart w:id="3470" w:name="_Toc38443950"/>
      <w:bookmarkStart w:id="3471" w:name="_Toc38438418"/>
      <w:bookmarkStart w:id="3472" w:name="_Toc38438755"/>
      <w:bookmarkStart w:id="3473" w:name="_Toc38439092"/>
      <w:bookmarkStart w:id="3474" w:name="_Toc38439429"/>
      <w:bookmarkStart w:id="3475" w:name="_Toc38439766"/>
      <w:bookmarkStart w:id="3476" w:name="_Toc38440103"/>
      <w:bookmarkStart w:id="3477" w:name="_Toc38440440"/>
      <w:bookmarkStart w:id="3478" w:name="_Toc38440972"/>
      <w:bookmarkStart w:id="3479" w:name="_Toc38441304"/>
      <w:bookmarkStart w:id="3480" w:name="_Toc38441636"/>
      <w:bookmarkStart w:id="3481" w:name="_Toc38441964"/>
      <w:bookmarkStart w:id="3482" w:name="_Toc38442296"/>
      <w:bookmarkStart w:id="3483" w:name="_Toc38442628"/>
      <w:bookmarkStart w:id="3484" w:name="_Toc38442959"/>
      <w:bookmarkStart w:id="3485" w:name="_Toc38443290"/>
      <w:bookmarkStart w:id="3486" w:name="_Toc38443621"/>
      <w:bookmarkStart w:id="3487" w:name="_Toc38443951"/>
      <w:bookmarkStart w:id="3488" w:name="_Toc38438419"/>
      <w:bookmarkStart w:id="3489" w:name="_Toc38438756"/>
      <w:bookmarkStart w:id="3490" w:name="_Toc38439093"/>
      <w:bookmarkStart w:id="3491" w:name="_Toc38439430"/>
      <w:bookmarkStart w:id="3492" w:name="_Toc38439767"/>
      <w:bookmarkStart w:id="3493" w:name="_Toc38440104"/>
      <w:bookmarkStart w:id="3494" w:name="_Toc38440441"/>
      <w:bookmarkStart w:id="3495" w:name="_Toc38440973"/>
      <w:bookmarkStart w:id="3496" w:name="_Toc38441305"/>
      <w:bookmarkStart w:id="3497" w:name="_Toc38441637"/>
      <w:bookmarkStart w:id="3498" w:name="_Toc38441965"/>
      <w:bookmarkStart w:id="3499" w:name="_Toc38442297"/>
      <w:bookmarkStart w:id="3500" w:name="_Toc38442629"/>
      <w:bookmarkStart w:id="3501" w:name="_Toc38442960"/>
      <w:bookmarkStart w:id="3502" w:name="_Toc38443291"/>
      <w:bookmarkStart w:id="3503" w:name="_Toc38443622"/>
      <w:bookmarkStart w:id="3504" w:name="_Toc38443952"/>
      <w:bookmarkStart w:id="3505" w:name="_Toc38438420"/>
      <w:bookmarkStart w:id="3506" w:name="_Toc38438757"/>
      <w:bookmarkStart w:id="3507" w:name="_Toc38439094"/>
      <w:bookmarkStart w:id="3508" w:name="_Toc38439431"/>
      <w:bookmarkStart w:id="3509" w:name="_Toc38439768"/>
      <w:bookmarkStart w:id="3510" w:name="_Toc38440105"/>
      <w:bookmarkStart w:id="3511" w:name="_Toc38440442"/>
      <w:bookmarkStart w:id="3512" w:name="_Toc38440974"/>
      <w:bookmarkStart w:id="3513" w:name="_Toc38441306"/>
      <w:bookmarkStart w:id="3514" w:name="_Toc38441638"/>
      <w:bookmarkStart w:id="3515" w:name="_Toc38441966"/>
      <w:bookmarkStart w:id="3516" w:name="_Toc38442298"/>
      <w:bookmarkStart w:id="3517" w:name="_Toc38442630"/>
      <w:bookmarkStart w:id="3518" w:name="_Toc38442961"/>
      <w:bookmarkStart w:id="3519" w:name="_Toc38443292"/>
      <w:bookmarkStart w:id="3520" w:name="_Toc38443623"/>
      <w:bookmarkStart w:id="3521" w:name="_Toc38443953"/>
      <w:bookmarkStart w:id="3522" w:name="_Toc38438421"/>
      <w:bookmarkStart w:id="3523" w:name="_Toc38438758"/>
      <w:bookmarkStart w:id="3524" w:name="_Toc38439095"/>
      <w:bookmarkStart w:id="3525" w:name="_Toc38439432"/>
      <w:bookmarkStart w:id="3526" w:name="_Toc38439769"/>
      <w:bookmarkStart w:id="3527" w:name="_Toc38440106"/>
      <w:bookmarkStart w:id="3528" w:name="_Toc38440443"/>
      <w:bookmarkStart w:id="3529" w:name="_Toc38440975"/>
      <w:bookmarkStart w:id="3530" w:name="_Toc38441307"/>
      <w:bookmarkStart w:id="3531" w:name="_Toc38441639"/>
      <w:bookmarkStart w:id="3532" w:name="_Toc38441967"/>
      <w:bookmarkStart w:id="3533" w:name="_Toc38442299"/>
      <w:bookmarkStart w:id="3534" w:name="_Toc38442631"/>
      <w:bookmarkStart w:id="3535" w:name="_Toc38442962"/>
      <w:bookmarkStart w:id="3536" w:name="_Toc38443293"/>
      <w:bookmarkStart w:id="3537" w:name="_Toc38443624"/>
      <w:bookmarkStart w:id="3538" w:name="_Toc38443954"/>
      <w:bookmarkStart w:id="3539" w:name="_Toc38438422"/>
      <w:bookmarkStart w:id="3540" w:name="_Toc38438759"/>
      <w:bookmarkStart w:id="3541" w:name="_Toc38439096"/>
      <w:bookmarkStart w:id="3542" w:name="_Toc38439433"/>
      <w:bookmarkStart w:id="3543" w:name="_Toc38439770"/>
      <w:bookmarkStart w:id="3544" w:name="_Toc38440107"/>
      <w:bookmarkStart w:id="3545" w:name="_Toc38440444"/>
      <w:bookmarkStart w:id="3546" w:name="_Toc38440976"/>
      <w:bookmarkStart w:id="3547" w:name="_Toc38441308"/>
      <w:bookmarkStart w:id="3548" w:name="_Toc38441640"/>
      <w:bookmarkStart w:id="3549" w:name="_Toc38441968"/>
      <w:bookmarkStart w:id="3550" w:name="_Toc38442300"/>
      <w:bookmarkStart w:id="3551" w:name="_Toc38442632"/>
      <w:bookmarkStart w:id="3552" w:name="_Toc38442963"/>
      <w:bookmarkStart w:id="3553" w:name="_Toc38443294"/>
      <w:bookmarkStart w:id="3554" w:name="_Toc38443625"/>
      <w:bookmarkStart w:id="3555" w:name="_Toc38443955"/>
      <w:bookmarkStart w:id="3556" w:name="_Toc38438423"/>
      <w:bookmarkStart w:id="3557" w:name="_Toc38438760"/>
      <w:bookmarkStart w:id="3558" w:name="_Toc38439097"/>
      <w:bookmarkStart w:id="3559" w:name="_Toc38439434"/>
      <w:bookmarkStart w:id="3560" w:name="_Toc38439771"/>
      <w:bookmarkStart w:id="3561" w:name="_Toc38440108"/>
      <w:bookmarkStart w:id="3562" w:name="_Toc38440445"/>
      <w:bookmarkStart w:id="3563" w:name="_Toc38440977"/>
      <w:bookmarkStart w:id="3564" w:name="_Toc38441309"/>
      <w:bookmarkStart w:id="3565" w:name="_Toc38441641"/>
      <w:bookmarkStart w:id="3566" w:name="_Toc38441969"/>
      <w:bookmarkStart w:id="3567" w:name="_Toc38442301"/>
      <w:bookmarkStart w:id="3568" w:name="_Toc38442633"/>
      <w:bookmarkStart w:id="3569" w:name="_Toc38442964"/>
      <w:bookmarkStart w:id="3570" w:name="_Toc38443295"/>
      <w:bookmarkStart w:id="3571" w:name="_Toc38443626"/>
      <w:bookmarkStart w:id="3572" w:name="_Toc38443956"/>
      <w:bookmarkStart w:id="3573" w:name="_Toc38438424"/>
      <w:bookmarkStart w:id="3574" w:name="_Toc38438761"/>
      <w:bookmarkStart w:id="3575" w:name="_Toc38439098"/>
      <w:bookmarkStart w:id="3576" w:name="_Toc38439435"/>
      <w:bookmarkStart w:id="3577" w:name="_Toc38439772"/>
      <w:bookmarkStart w:id="3578" w:name="_Toc38440109"/>
      <w:bookmarkStart w:id="3579" w:name="_Toc38440446"/>
      <w:bookmarkStart w:id="3580" w:name="_Toc38440978"/>
      <w:bookmarkStart w:id="3581" w:name="_Toc38441310"/>
      <w:bookmarkStart w:id="3582" w:name="_Toc38441642"/>
      <w:bookmarkStart w:id="3583" w:name="_Toc38441970"/>
      <w:bookmarkStart w:id="3584" w:name="_Toc38442302"/>
      <w:bookmarkStart w:id="3585" w:name="_Toc38442634"/>
      <w:bookmarkStart w:id="3586" w:name="_Toc38442965"/>
      <w:bookmarkStart w:id="3587" w:name="_Toc38443296"/>
      <w:bookmarkStart w:id="3588" w:name="_Toc38443627"/>
      <w:bookmarkStart w:id="3589" w:name="_Toc38443957"/>
      <w:bookmarkStart w:id="3590" w:name="_Toc38438425"/>
      <w:bookmarkStart w:id="3591" w:name="_Toc38438762"/>
      <w:bookmarkStart w:id="3592" w:name="_Toc38439099"/>
      <w:bookmarkStart w:id="3593" w:name="_Toc38439436"/>
      <w:bookmarkStart w:id="3594" w:name="_Toc38439773"/>
      <w:bookmarkStart w:id="3595" w:name="_Toc38440110"/>
      <w:bookmarkStart w:id="3596" w:name="_Toc38440447"/>
      <w:bookmarkStart w:id="3597" w:name="_Toc38440979"/>
      <w:bookmarkStart w:id="3598" w:name="_Toc38441311"/>
      <w:bookmarkStart w:id="3599" w:name="_Toc38441643"/>
      <w:bookmarkStart w:id="3600" w:name="_Toc38441971"/>
      <w:bookmarkStart w:id="3601" w:name="_Toc38442303"/>
      <w:bookmarkStart w:id="3602" w:name="_Toc38442635"/>
      <w:bookmarkStart w:id="3603" w:name="_Toc38442966"/>
      <w:bookmarkStart w:id="3604" w:name="_Toc38443297"/>
      <w:bookmarkStart w:id="3605" w:name="_Toc38443628"/>
      <w:bookmarkStart w:id="3606" w:name="_Toc38443958"/>
      <w:bookmarkStart w:id="3607" w:name="_Toc38438426"/>
      <w:bookmarkStart w:id="3608" w:name="_Toc38438763"/>
      <w:bookmarkStart w:id="3609" w:name="_Toc38439100"/>
      <w:bookmarkStart w:id="3610" w:name="_Toc38439437"/>
      <w:bookmarkStart w:id="3611" w:name="_Toc38439774"/>
      <w:bookmarkStart w:id="3612" w:name="_Toc38440111"/>
      <w:bookmarkStart w:id="3613" w:name="_Toc38440448"/>
      <w:bookmarkStart w:id="3614" w:name="_Toc38440980"/>
      <w:bookmarkStart w:id="3615" w:name="_Toc38441312"/>
      <w:bookmarkStart w:id="3616" w:name="_Toc38441644"/>
      <w:bookmarkStart w:id="3617" w:name="_Toc38441972"/>
      <w:bookmarkStart w:id="3618" w:name="_Toc38442304"/>
      <w:bookmarkStart w:id="3619" w:name="_Toc38442636"/>
      <w:bookmarkStart w:id="3620" w:name="_Toc38442967"/>
      <w:bookmarkStart w:id="3621" w:name="_Toc38443298"/>
      <w:bookmarkStart w:id="3622" w:name="_Toc38443629"/>
      <w:bookmarkStart w:id="3623" w:name="_Toc38443959"/>
      <w:bookmarkStart w:id="3624" w:name="_Toc38438427"/>
      <w:bookmarkStart w:id="3625" w:name="_Toc38438764"/>
      <w:bookmarkStart w:id="3626" w:name="_Toc38439101"/>
      <w:bookmarkStart w:id="3627" w:name="_Toc38439438"/>
      <w:bookmarkStart w:id="3628" w:name="_Toc38439775"/>
      <w:bookmarkStart w:id="3629" w:name="_Toc38440112"/>
      <w:bookmarkStart w:id="3630" w:name="_Toc38440449"/>
      <w:bookmarkStart w:id="3631" w:name="_Toc38440981"/>
      <w:bookmarkStart w:id="3632" w:name="_Toc38441313"/>
      <w:bookmarkStart w:id="3633" w:name="_Toc38441645"/>
      <w:bookmarkStart w:id="3634" w:name="_Toc38441973"/>
      <w:bookmarkStart w:id="3635" w:name="_Toc38442305"/>
      <w:bookmarkStart w:id="3636" w:name="_Toc38442637"/>
      <w:bookmarkStart w:id="3637" w:name="_Toc38442968"/>
      <w:bookmarkStart w:id="3638" w:name="_Toc38443299"/>
      <w:bookmarkStart w:id="3639" w:name="_Toc38443630"/>
      <w:bookmarkStart w:id="3640" w:name="_Toc38443960"/>
      <w:bookmarkStart w:id="3641" w:name="_Toc38438428"/>
      <w:bookmarkStart w:id="3642" w:name="_Toc38438765"/>
      <w:bookmarkStart w:id="3643" w:name="_Toc38439102"/>
      <w:bookmarkStart w:id="3644" w:name="_Toc38439439"/>
      <w:bookmarkStart w:id="3645" w:name="_Toc38439776"/>
      <w:bookmarkStart w:id="3646" w:name="_Toc38440113"/>
      <w:bookmarkStart w:id="3647" w:name="_Toc38440450"/>
      <w:bookmarkStart w:id="3648" w:name="_Toc38440982"/>
      <w:bookmarkStart w:id="3649" w:name="_Toc38441314"/>
      <w:bookmarkStart w:id="3650" w:name="_Toc38441646"/>
      <w:bookmarkStart w:id="3651" w:name="_Toc38441974"/>
      <w:bookmarkStart w:id="3652" w:name="_Toc38442306"/>
      <w:bookmarkStart w:id="3653" w:name="_Toc38442638"/>
      <w:bookmarkStart w:id="3654" w:name="_Toc38442969"/>
      <w:bookmarkStart w:id="3655" w:name="_Toc38443300"/>
      <w:bookmarkStart w:id="3656" w:name="_Toc38443631"/>
      <w:bookmarkStart w:id="3657" w:name="_Toc38443961"/>
      <w:bookmarkStart w:id="3658" w:name="_Toc38438429"/>
      <w:bookmarkStart w:id="3659" w:name="_Toc38438766"/>
      <w:bookmarkStart w:id="3660" w:name="_Toc38439103"/>
      <w:bookmarkStart w:id="3661" w:name="_Toc38439440"/>
      <w:bookmarkStart w:id="3662" w:name="_Toc38439777"/>
      <w:bookmarkStart w:id="3663" w:name="_Toc38440114"/>
      <w:bookmarkStart w:id="3664" w:name="_Toc38440451"/>
      <w:bookmarkStart w:id="3665" w:name="_Toc38440983"/>
      <w:bookmarkStart w:id="3666" w:name="_Toc38441315"/>
      <w:bookmarkStart w:id="3667" w:name="_Toc38441647"/>
      <w:bookmarkStart w:id="3668" w:name="_Toc38441975"/>
      <w:bookmarkStart w:id="3669" w:name="_Toc38442307"/>
      <w:bookmarkStart w:id="3670" w:name="_Toc38442639"/>
      <w:bookmarkStart w:id="3671" w:name="_Toc38442970"/>
      <w:bookmarkStart w:id="3672" w:name="_Toc38443301"/>
      <w:bookmarkStart w:id="3673" w:name="_Toc38443632"/>
      <w:bookmarkStart w:id="3674" w:name="_Toc38443962"/>
      <w:bookmarkStart w:id="3675" w:name="_Toc38438430"/>
      <w:bookmarkStart w:id="3676" w:name="_Toc38438767"/>
      <w:bookmarkStart w:id="3677" w:name="_Toc38439104"/>
      <w:bookmarkStart w:id="3678" w:name="_Toc38439441"/>
      <w:bookmarkStart w:id="3679" w:name="_Toc38439778"/>
      <w:bookmarkStart w:id="3680" w:name="_Toc38440115"/>
      <w:bookmarkStart w:id="3681" w:name="_Toc38440452"/>
      <w:bookmarkStart w:id="3682" w:name="_Toc38440984"/>
      <w:bookmarkStart w:id="3683" w:name="_Toc38441316"/>
      <w:bookmarkStart w:id="3684" w:name="_Toc38441648"/>
      <w:bookmarkStart w:id="3685" w:name="_Toc38441976"/>
      <w:bookmarkStart w:id="3686" w:name="_Toc38442308"/>
      <w:bookmarkStart w:id="3687" w:name="_Toc38442640"/>
      <w:bookmarkStart w:id="3688" w:name="_Toc38442971"/>
      <w:bookmarkStart w:id="3689" w:name="_Toc38443302"/>
      <w:bookmarkStart w:id="3690" w:name="_Toc38443633"/>
      <w:bookmarkStart w:id="3691" w:name="_Toc38443963"/>
      <w:bookmarkStart w:id="3692" w:name="_Toc38438431"/>
      <w:bookmarkStart w:id="3693" w:name="_Toc38438768"/>
      <w:bookmarkStart w:id="3694" w:name="_Toc38439105"/>
      <w:bookmarkStart w:id="3695" w:name="_Toc38439442"/>
      <w:bookmarkStart w:id="3696" w:name="_Toc38439779"/>
      <w:bookmarkStart w:id="3697" w:name="_Toc38440116"/>
      <w:bookmarkStart w:id="3698" w:name="_Toc38440453"/>
      <w:bookmarkStart w:id="3699" w:name="_Toc38440985"/>
      <w:bookmarkStart w:id="3700" w:name="_Toc38441317"/>
      <w:bookmarkStart w:id="3701" w:name="_Toc38441649"/>
      <w:bookmarkStart w:id="3702" w:name="_Toc38441977"/>
      <w:bookmarkStart w:id="3703" w:name="_Toc38442309"/>
      <w:bookmarkStart w:id="3704" w:name="_Toc38442641"/>
      <w:bookmarkStart w:id="3705" w:name="_Toc38442972"/>
      <w:bookmarkStart w:id="3706" w:name="_Toc38443303"/>
      <w:bookmarkStart w:id="3707" w:name="_Toc38443634"/>
      <w:bookmarkStart w:id="3708" w:name="_Toc38443964"/>
      <w:bookmarkStart w:id="3709" w:name="_Toc38438432"/>
      <w:bookmarkStart w:id="3710" w:name="_Toc38438769"/>
      <w:bookmarkStart w:id="3711" w:name="_Toc38439106"/>
      <w:bookmarkStart w:id="3712" w:name="_Toc38439443"/>
      <w:bookmarkStart w:id="3713" w:name="_Toc38439780"/>
      <w:bookmarkStart w:id="3714" w:name="_Toc38440117"/>
      <w:bookmarkStart w:id="3715" w:name="_Toc38440454"/>
      <w:bookmarkStart w:id="3716" w:name="_Toc38440986"/>
      <w:bookmarkStart w:id="3717" w:name="_Toc38441318"/>
      <w:bookmarkStart w:id="3718" w:name="_Toc38441650"/>
      <w:bookmarkStart w:id="3719" w:name="_Toc38441978"/>
      <w:bookmarkStart w:id="3720" w:name="_Toc38442310"/>
      <w:bookmarkStart w:id="3721" w:name="_Toc38442642"/>
      <w:bookmarkStart w:id="3722" w:name="_Toc38442973"/>
      <w:bookmarkStart w:id="3723" w:name="_Toc38443304"/>
      <w:bookmarkStart w:id="3724" w:name="_Toc38443635"/>
      <w:bookmarkStart w:id="3725" w:name="_Toc38443965"/>
      <w:bookmarkStart w:id="3726" w:name="_Toc38438433"/>
      <w:bookmarkStart w:id="3727" w:name="_Toc38438770"/>
      <w:bookmarkStart w:id="3728" w:name="_Toc38439107"/>
      <w:bookmarkStart w:id="3729" w:name="_Toc38439444"/>
      <w:bookmarkStart w:id="3730" w:name="_Toc38439781"/>
      <w:bookmarkStart w:id="3731" w:name="_Toc38440118"/>
      <w:bookmarkStart w:id="3732" w:name="_Toc38440455"/>
      <w:bookmarkStart w:id="3733" w:name="_Toc38440987"/>
      <w:bookmarkStart w:id="3734" w:name="_Toc38441319"/>
      <w:bookmarkStart w:id="3735" w:name="_Toc38441651"/>
      <w:bookmarkStart w:id="3736" w:name="_Toc38441979"/>
      <w:bookmarkStart w:id="3737" w:name="_Toc38442311"/>
      <w:bookmarkStart w:id="3738" w:name="_Toc38442643"/>
      <w:bookmarkStart w:id="3739" w:name="_Toc38442974"/>
      <w:bookmarkStart w:id="3740" w:name="_Toc38443305"/>
      <w:bookmarkStart w:id="3741" w:name="_Toc38443636"/>
      <w:bookmarkStart w:id="3742" w:name="_Toc38443966"/>
      <w:bookmarkStart w:id="3743" w:name="_Toc38438434"/>
      <w:bookmarkStart w:id="3744" w:name="_Toc38438771"/>
      <w:bookmarkStart w:id="3745" w:name="_Toc38439108"/>
      <w:bookmarkStart w:id="3746" w:name="_Toc38439445"/>
      <w:bookmarkStart w:id="3747" w:name="_Toc38439782"/>
      <w:bookmarkStart w:id="3748" w:name="_Toc38440119"/>
      <w:bookmarkStart w:id="3749" w:name="_Toc38440456"/>
      <w:bookmarkStart w:id="3750" w:name="_Toc38440988"/>
      <w:bookmarkStart w:id="3751" w:name="_Toc38441320"/>
      <w:bookmarkStart w:id="3752" w:name="_Toc38441652"/>
      <w:bookmarkStart w:id="3753" w:name="_Toc38441980"/>
      <w:bookmarkStart w:id="3754" w:name="_Toc38442312"/>
      <w:bookmarkStart w:id="3755" w:name="_Toc38442644"/>
      <w:bookmarkStart w:id="3756" w:name="_Toc38442975"/>
      <w:bookmarkStart w:id="3757" w:name="_Toc38443306"/>
      <w:bookmarkStart w:id="3758" w:name="_Toc38443637"/>
      <w:bookmarkStart w:id="3759" w:name="_Toc38443967"/>
      <w:bookmarkStart w:id="3760" w:name="_Toc38438435"/>
      <w:bookmarkStart w:id="3761" w:name="_Toc38438772"/>
      <w:bookmarkStart w:id="3762" w:name="_Toc38439109"/>
      <w:bookmarkStart w:id="3763" w:name="_Toc38439446"/>
      <w:bookmarkStart w:id="3764" w:name="_Toc38439783"/>
      <w:bookmarkStart w:id="3765" w:name="_Toc38440120"/>
      <w:bookmarkStart w:id="3766" w:name="_Toc38440457"/>
      <w:bookmarkStart w:id="3767" w:name="_Toc38440989"/>
      <w:bookmarkStart w:id="3768" w:name="_Toc38441321"/>
      <w:bookmarkStart w:id="3769" w:name="_Toc38441653"/>
      <w:bookmarkStart w:id="3770" w:name="_Toc38441981"/>
      <w:bookmarkStart w:id="3771" w:name="_Toc38442313"/>
      <w:bookmarkStart w:id="3772" w:name="_Toc38442645"/>
      <w:bookmarkStart w:id="3773" w:name="_Toc38442976"/>
      <w:bookmarkStart w:id="3774" w:name="_Toc38443307"/>
      <w:bookmarkStart w:id="3775" w:name="_Toc38443638"/>
      <w:bookmarkStart w:id="3776" w:name="_Toc38443968"/>
      <w:bookmarkStart w:id="3777" w:name="_Toc38438436"/>
      <w:bookmarkStart w:id="3778" w:name="_Toc38438773"/>
      <w:bookmarkStart w:id="3779" w:name="_Toc38439110"/>
      <w:bookmarkStart w:id="3780" w:name="_Toc38439447"/>
      <w:bookmarkStart w:id="3781" w:name="_Toc38439784"/>
      <w:bookmarkStart w:id="3782" w:name="_Toc38440121"/>
      <w:bookmarkStart w:id="3783" w:name="_Toc38440458"/>
      <w:bookmarkStart w:id="3784" w:name="_Toc38440990"/>
      <w:bookmarkStart w:id="3785" w:name="_Toc38441322"/>
      <w:bookmarkStart w:id="3786" w:name="_Toc38441654"/>
      <w:bookmarkStart w:id="3787" w:name="_Toc38441982"/>
      <w:bookmarkStart w:id="3788" w:name="_Toc38442314"/>
      <w:bookmarkStart w:id="3789" w:name="_Toc38442646"/>
      <w:bookmarkStart w:id="3790" w:name="_Toc38442977"/>
      <w:bookmarkStart w:id="3791" w:name="_Toc38443308"/>
      <w:bookmarkStart w:id="3792" w:name="_Toc38443639"/>
      <w:bookmarkStart w:id="3793" w:name="_Toc38443969"/>
      <w:bookmarkStart w:id="3794" w:name="_Toc38438437"/>
      <w:bookmarkStart w:id="3795" w:name="_Toc38438774"/>
      <w:bookmarkStart w:id="3796" w:name="_Toc38439111"/>
      <w:bookmarkStart w:id="3797" w:name="_Toc38439448"/>
      <w:bookmarkStart w:id="3798" w:name="_Toc38439785"/>
      <w:bookmarkStart w:id="3799" w:name="_Toc38440122"/>
      <w:bookmarkStart w:id="3800" w:name="_Toc38440459"/>
      <w:bookmarkStart w:id="3801" w:name="_Toc38440991"/>
      <w:bookmarkStart w:id="3802" w:name="_Toc38441323"/>
      <w:bookmarkStart w:id="3803" w:name="_Toc38441655"/>
      <w:bookmarkStart w:id="3804" w:name="_Toc38441983"/>
      <w:bookmarkStart w:id="3805" w:name="_Toc38442315"/>
      <w:bookmarkStart w:id="3806" w:name="_Toc38442647"/>
      <w:bookmarkStart w:id="3807" w:name="_Toc38442978"/>
      <w:bookmarkStart w:id="3808" w:name="_Toc38443309"/>
      <w:bookmarkStart w:id="3809" w:name="_Toc38443640"/>
      <w:bookmarkStart w:id="3810" w:name="_Toc38443970"/>
      <w:bookmarkStart w:id="3811" w:name="_Toc38438438"/>
      <w:bookmarkStart w:id="3812" w:name="_Toc38438775"/>
      <w:bookmarkStart w:id="3813" w:name="_Toc38439112"/>
      <w:bookmarkStart w:id="3814" w:name="_Toc38439449"/>
      <w:bookmarkStart w:id="3815" w:name="_Toc38439786"/>
      <w:bookmarkStart w:id="3816" w:name="_Toc38440123"/>
      <w:bookmarkStart w:id="3817" w:name="_Toc38440460"/>
      <w:bookmarkStart w:id="3818" w:name="_Toc38440992"/>
      <w:bookmarkStart w:id="3819" w:name="_Toc38441324"/>
      <w:bookmarkStart w:id="3820" w:name="_Toc38441656"/>
      <w:bookmarkStart w:id="3821" w:name="_Toc38441984"/>
      <w:bookmarkStart w:id="3822" w:name="_Toc38442316"/>
      <w:bookmarkStart w:id="3823" w:name="_Toc38442648"/>
      <w:bookmarkStart w:id="3824" w:name="_Toc38442979"/>
      <w:bookmarkStart w:id="3825" w:name="_Toc38443310"/>
      <w:bookmarkStart w:id="3826" w:name="_Toc38443641"/>
      <w:bookmarkStart w:id="3827" w:name="_Toc38443971"/>
      <w:bookmarkStart w:id="3828" w:name="_Toc38438439"/>
      <w:bookmarkStart w:id="3829" w:name="_Toc38438776"/>
      <w:bookmarkStart w:id="3830" w:name="_Toc38439113"/>
      <w:bookmarkStart w:id="3831" w:name="_Toc38439450"/>
      <w:bookmarkStart w:id="3832" w:name="_Toc38439787"/>
      <w:bookmarkStart w:id="3833" w:name="_Toc38440124"/>
      <w:bookmarkStart w:id="3834" w:name="_Toc38440461"/>
      <w:bookmarkStart w:id="3835" w:name="_Toc38440993"/>
      <w:bookmarkStart w:id="3836" w:name="_Toc38441325"/>
      <w:bookmarkStart w:id="3837" w:name="_Toc38441657"/>
      <w:bookmarkStart w:id="3838" w:name="_Toc38441985"/>
      <w:bookmarkStart w:id="3839" w:name="_Toc38442317"/>
      <w:bookmarkStart w:id="3840" w:name="_Toc38442649"/>
      <w:bookmarkStart w:id="3841" w:name="_Toc38442980"/>
      <w:bookmarkStart w:id="3842" w:name="_Toc38443311"/>
      <w:bookmarkStart w:id="3843" w:name="_Toc38443642"/>
      <w:bookmarkStart w:id="3844" w:name="_Toc38443972"/>
      <w:bookmarkStart w:id="3845" w:name="_Toc38438440"/>
      <w:bookmarkStart w:id="3846" w:name="_Toc38438777"/>
      <w:bookmarkStart w:id="3847" w:name="_Toc38439114"/>
      <w:bookmarkStart w:id="3848" w:name="_Toc38439451"/>
      <w:bookmarkStart w:id="3849" w:name="_Toc38439788"/>
      <w:bookmarkStart w:id="3850" w:name="_Toc38440125"/>
      <w:bookmarkStart w:id="3851" w:name="_Toc38440462"/>
      <w:bookmarkStart w:id="3852" w:name="_Toc38440994"/>
      <w:bookmarkStart w:id="3853" w:name="_Toc38441326"/>
      <w:bookmarkStart w:id="3854" w:name="_Toc38441658"/>
      <w:bookmarkStart w:id="3855" w:name="_Toc38441986"/>
      <w:bookmarkStart w:id="3856" w:name="_Toc38442318"/>
      <w:bookmarkStart w:id="3857" w:name="_Toc38442650"/>
      <w:bookmarkStart w:id="3858" w:name="_Toc38442981"/>
      <w:bookmarkStart w:id="3859" w:name="_Toc38443312"/>
      <w:bookmarkStart w:id="3860" w:name="_Toc38443643"/>
      <w:bookmarkStart w:id="3861" w:name="_Toc38443973"/>
      <w:bookmarkStart w:id="3862" w:name="_Toc38438441"/>
      <w:bookmarkStart w:id="3863" w:name="_Toc38438778"/>
      <w:bookmarkStart w:id="3864" w:name="_Toc38439115"/>
      <w:bookmarkStart w:id="3865" w:name="_Toc38439452"/>
      <w:bookmarkStart w:id="3866" w:name="_Toc38439789"/>
      <w:bookmarkStart w:id="3867" w:name="_Toc38440126"/>
      <w:bookmarkStart w:id="3868" w:name="_Toc38440463"/>
      <w:bookmarkStart w:id="3869" w:name="_Toc38440995"/>
      <w:bookmarkStart w:id="3870" w:name="_Toc38441327"/>
      <w:bookmarkStart w:id="3871" w:name="_Toc38441659"/>
      <w:bookmarkStart w:id="3872" w:name="_Toc38441987"/>
      <w:bookmarkStart w:id="3873" w:name="_Toc38442319"/>
      <w:bookmarkStart w:id="3874" w:name="_Toc38442651"/>
      <w:bookmarkStart w:id="3875" w:name="_Toc38442982"/>
      <w:bookmarkStart w:id="3876" w:name="_Toc38443313"/>
      <w:bookmarkStart w:id="3877" w:name="_Toc38443644"/>
      <w:bookmarkStart w:id="3878" w:name="_Toc38443974"/>
      <w:bookmarkStart w:id="3879" w:name="_Toc38438442"/>
      <w:bookmarkStart w:id="3880" w:name="_Toc38438779"/>
      <w:bookmarkStart w:id="3881" w:name="_Toc38439116"/>
      <w:bookmarkStart w:id="3882" w:name="_Toc38439453"/>
      <w:bookmarkStart w:id="3883" w:name="_Toc38439790"/>
      <w:bookmarkStart w:id="3884" w:name="_Toc38440127"/>
      <w:bookmarkStart w:id="3885" w:name="_Toc38440464"/>
      <w:bookmarkStart w:id="3886" w:name="_Toc38440996"/>
      <w:bookmarkStart w:id="3887" w:name="_Toc38441328"/>
      <w:bookmarkStart w:id="3888" w:name="_Toc38441660"/>
      <w:bookmarkStart w:id="3889" w:name="_Toc38441988"/>
      <w:bookmarkStart w:id="3890" w:name="_Toc38442320"/>
      <w:bookmarkStart w:id="3891" w:name="_Toc38442652"/>
      <w:bookmarkStart w:id="3892" w:name="_Toc38442983"/>
      <w:bookmarkStart w:id="3893" w:name="_Toc38443314"/>
      <w:bookmarkStart w:id="3894" w:name="_Toc38443645"/>
      <w:bookmarkStart w:id="3895" w:name="_Toc38443975"/>
      <w:bookmarkStart w:id="3896" w:name="_Toc38438443"/>
      <w:bookmarkStart w:id="3897" w:name="_Toc38438780"/>
      <w:bookmarkStart w:id="3898" w:name="_Toc38439117"/>
      <w:bookmarkStart w:id="3899" w:name="_Toc38439454"/>
      <w:bookmarkStart w:id="3900" w:name="_Toc38439791"/>
      <w:bookmarkStart w:id="3901" w:name="_Toc38440128"/>
      <w:bookmarkStart w:id="3902" w:name="_Toc38440465"/>
      <w:bookmarkStart w:id="3903" w:name="_Toc38440997"/>
      <w:bookmarkStart w:id="3904" w:name="_Toc38441329"/>
      <w:bookmarkStart w:id="3905" w:name="_Toc38441661"/>
      <w:bookmarkStart w:id="3906" w:name="_Toc38441989"/>
      <w:bookmarkStart w:id="3907" w:name="_Toc38442321"/>
      <w:bookmarkStart w:id="3908" w:name="_Toc38442653"/>
      <w:bookmarkStart w:id="3909" w:name="_Toc38442984"/>
      <w:bookmarkStart w:id="3910" w:name="_Toc38443315"/>
      <w:bookmarkStart w:id="3911" w:name="_Toc38443646"/>
      <w:bookmarkStart w:id="3912" w:name="_Toc38443976"/>
      <w:bookmarkStart w:id="3913" w:name="_Toc38438444"/>
      <w:bookmarkStart w:id="3914" w:name="_Toc38438781"/>
      <w:bookmarkStart w:id="3915" w:name="_Toc38439118"/>
      <w:bookmarkStart w:id="3916" w:name="_Toc38439455"/>
      <w:bookmarkStart w:id="3917" w:name="_Toc38439792"/>
      <w:bookmarkStart w:id="3918" w:name="_Toc38440129"/>
      <w:bookmarkStart w:id="3919" w:name="_Toc38440466"/>
      <w:bookmarkStart w:id="3920" w:name="_Toc38440998"/>
      <w:bookmarkStart w:id="3921" w:name="_Toc38441330"/>
      <w:bookmarkStart w:id="3922" w:name="_Toc38441662"/>
      <w:bookmarkStart w:id="3923" w:name="_Toc38441990"/>
      <w:bookmarkStart w:id="3924" w:name="_Toc38442322"/>
      <w:bookmarkStart w:id="3925" w:name="_Toc38442654"/>
      <w:bookmarkStart w:id="3926" w:name="_Toc38442985"/>
      <w:bookmarkStart w:id="3927" w:name="_Toc38443316"/>
      <w:bookmarkStart w:id="3928" w:name="_Toc38443647"/>
      <w:bookmarkStart w:id="3929" w:name="_Toc38443977"/>
      <w:bookmarkStart w:id="3930" w:name="_Toc38438445"/>
      <w:bookmarkStart w:id="3931" w:name="_Toc38438782"/>
      <w:bookmarkStart w:id="3932" w:name="_Toc38439119"/>
      <w:bookmarkStart w:id="3933" w:name="_Toc38439456"/>
      <w:bookmarkStart w:id="3934" w:name="_Toc38439793"/>
      <w:bookmarkStart w:id="3935" w:name="_Toc38440130"/>
      <w:bookmarkStart w:id="3936" w:name="_Toc38440467"/>
      <w:bookmarkStart w:id="3937" w:name="_Toc38440999"/>
      <w:bookmarkStart w:id="3938" w:name="_Toc38441331"/>
      <w:bookmarkStart w:id="3939" w:name="_Toc38441663"/>
      <w:bookmarkStart w:id="3940" w:name="_Toc38441991"/>
      <w:bookmarkStart w:id="3941" w:name="_Toc38442323"/>
      <w:bookmarkStart w:id="3942" w:name="_Toc38442655"/>
      <w:bookmarkStart w:id="3943" w:name="_Toc38442986"/>
      <w:bookmarkStart w:id="3944" w:name="_Toc38443317"/>
      <w:bookmarkStart w:id="3945" w:name="_Toc38443648"/>
      <w:bookmarkStart w:id="3946" w:name="_Toc38443978"/>
      <w:bookmarkStart w:id="3947" w:name="_Toc38438446"/>
      <w:bookmarkStart w:id="3948" w:name="_Toc38438783"/>
      <w:bookmarkStart w:id="3949" w:name="_Toc38439120"/>
      <w:bookmarkStart w:id="3950" w:name="_Toc38439457"/>
      <w:bookmarkStart w:id="3951" w:name="_Toc38439794"/>
      <w:bookmarkStart w:id="3952" w:name="_Toc38440131"/>
      <w:bookmarkStart w:id="3953" w:name="_Toc38440468"/>
      <w:bookmarkStart w:id="3954" w:name="_Toc38441000"/>
      <w:bookmarkStart w:id="3955" w:name="_Toc38441332"/>
      <w:bookmarkStart w:id="3956" w:name="_Toc38441664"/>
      <w:bookmarkStart w:id="3957" w:name="_Toc38441992"/>
      <w:bookmarkStart w:id="3958" w:name="_Toc38442324"/>
      <w:bookmarkStart w:id="3959" w:name="_Toc38442656"/>
      <w:bookmarkStart w:id="3960" w:name="_Toc38442987"/>
      <w:bookmarkStart w:id="3961" w:name="_Toc38443318"/>
      <w:bookmarkStart w:id="3962" w:name="_Toc38443649"/>
      <w:bookmarkStart w:id="3963" w:name="_Toc38443979"/>
      <w:bookmarkStart w:id="3964" w:name="_Toc38438447"/>
      <w:bookmarkStart w:id="3965" w:name="_Toc38438784"/>
      <w:bookmarkStart w:id="3966" w:name="_Toc38439121"/>
      <w:bookmarkStart w:id="3967" w:name="_Toc38439458"/>
      <w:bookmarkStart w:id="3968" w:name="_Toc38439795"/>
      <w:bookmarkStart w:id="3969" w:name="_Toc38440132"/>
      <w:bookmarkStart w:id="3970" w:name="_Toc38440469"/>
      <w:bookmarkStart w:id="3971" w:name="_Toc38441001"/>
      <w:bookmarkStart w:id="3972" w:name="_Toc38441333"/>
      <w:bookmarkStart w:id="3973" w:name="_Toc38441665"/>
      <w:bookmarkStart w:id="3974" w:name="_Toc38441993"/>
      <w:bookmarkStart w:id="3975" w:name="_Toc38442325"/>
      <w:bookmarkStart w:id="3976" w:name="_Toc38442657"/>
      <w:bookmarkStart w:id="3977" w:name="_Toc38442988"/>
      <w:bookmarkStart w:id="3978" w:name="_Toc38443319"/>
      <w:bookmarkStart w:id="3979" w:name="_Toc38443650"/>
      <w:bookmarkStart w:id="3980" w:name="_Toc38443980"/>
      <w:bookmarkStart w:id="3981" w:name="_Toc38438448"/>
      <w:bookmarkStart w:id="3982" w:name="_Toc38438785"/>
      <w:bookmarkStart w:id="3983" w:name="_Toc38439122"/>
      <w:bookmarkStart w:id="3984" w:name="_Toc38439459"/>
      <w:bookmarkStart w:id="3985" w:name="_Toc38439796"/>
      <w:bookmarkStart w:id="3986" w:name="_Toc38440133"/>
      <w:bookmarkStart w:id="3987" w:name="_Toc38440470"/>
      <w:bookmarkStart w:id="3988" w:name="_Toc38441002"/>
      <w:bookmarkStart w:id="3989" w:name="_Toc38441334"/>
      <w:bookmarkStart w:id="3990" w:name="_Toc38441666"/>
      <w:bookmarkStart w:id="3991" w:name="_Toc38441994"/>
      <w:bookmarkStart w:id="3992" w:name="_Toc38442326"/>
      <w:bookmarkStart w:id="3993" w:name="_Toc38442658"/>
      <w:bookmarkStart w:id="3994" w:name="_Toc38442989"/>
      <w:bookmarkStart w:id="3995" w:name="_Toc38443320"/>
      <w:bookmarkStart w:id="3996" w:name="_Toc38443651"/>
      <w:bookmarkStart w:id="3997" w:name="_Toc38443981"/>
      <w:bookmarkStart w:id="3998" w:name="_Toc38438449"/>
      <w:bookmarkStart w:id="3999" w:name="_Toc38438786"/>
      <w:bookmarkStart w:id="4000" w:name="_Toc38439123"/>
      <w:bookmarkStart w:id="4001" w:name="_Toc38439460"/>
      <w:bookmarkStart w:id="4002" w:name="_Toc38439797"/>
      <w:bookmarkStart w:id="4003" w:name="_Toc38440134"/>
      <w:bookmarkStart w:id="4004" w:name="_Toc38440471"/>
      <w:bookmarkStart w:id="4005" w:name="_Toc38441003"/>
      <w:bookmarkStart w:id="4006" w:name="_Toc38441335"/>
      <w:bookmarkStart w:id="4007" w:name="_Toc38441667"/>
      <w:bookmarkStart w:id="4008" w:name="_Toc38441995"/>
      <w:bookmarkStart w:id="4009" w:name="_Toc38442327"/>
      <w:bookmarkStart w:id="4010" w:name="_Toc38442659"/>
      <w:bookmarkStart w:id="4011" w:name="_Toc38442990"/>
      <w:bookmarkStart w:id="4012" w:name="_Toc38443321"/>
      <w:bookmarkStart w:id="4013" w:name="_Toc38443652"/>
      <w:bookmarkStart w:id="4014" w:name="_Toc38443982"/>
      <w:bookmarkStart w:id="4015" w:name="_Toc38438450"/>
      <w:bookmarkStart w:id="4016" w:name="_Toc38438787"/>
      <w:bookmarkStart w:id="4017" w:name="_Toc38439124"/>
      <w:bookmarkStart w:id="4018" w:name="_Toc38439461"/>
      <w:bookmarkStart w:id="4019" w:name="_Toc38439798"/>
      <w:bookmarkStart w:id="4020" w:name="_Toc38440135"/>
      <w:bookmarkStart w:id="4021" w:name="_Toc38440472"/>
      <w:bookmarkStart w:id="4022" w:name="_Toc38441004"/>
      <w:bookmarkStart w:id="4023" w:name="_Toc38441336"/>
      <w:bookmarkStart w:id="4024" w:name="_Toc38441668"/>
      <w:bookmarkStart w:id="4025" w:name="_Toc38441996"/>
      <w:bookmarkStart w:id="4026" w:name="_Toc38442328"/>
      <w:bookmarkStart w:id="4027" w:name="_Toc38442660"/>
      <w:bookmarkStart w:id="4028" w:name="_Toc38442991"/>
      <w:bookmarkStart w:id="4029" w:name="_Toc38443322"/>
      <w:bookmarkStart w:id="4030" w:name="_Toc38443653"/>
      <w:bookmarkStart w:id="4031" w:name="_Toc38443983"/>
      <w:bookmarkStart w:id="4032" w:name="_Toc38438451"/>
      <w:bookmarkStart w:id="4033" w:name="_Toc38438788"/>
      <w:bookmarkStart w:id="4034" w:name="_Toc38439125"/>
      <w:bookmarkStart w:id="4035" w:name="_Toc38439462"/>
      <w:bookmarkStart w:id="4036" w:name="_Toc38439799"/>
      <w:bookmarkStart w:id="4037" w:name="_Toc38440136"/>
      <w:bookmarkStart w:id="4038" w:name="_Toc38440473"/>
      <w:bookmarkStart w:id="4039" w:name="_Toc38441005"/>
      <w:bookmarkStart w:id="4040" w:name="_Toc38441337"/>
      <w:bookmarkStart w:id="4041" w:name="_Toc38441669"/>
      <w:bookmarkStart w:id="4042" w:name="_Toc38441997"/>
      <w:bookmarkStart w:id="4043" w:name="_Toc38442329"/>
      <w:bookmarkStart w:id="4044" w:name="_Toc38442661"/>
      <w:bookmarkStart w:id="4045" w:name="_Toc38442992"/>
      <w:bookmarkStart w:id="4046" w:name="_Toc38443323"/>
      <w:bookmarkStart w:id="4047" w:name="_Toc38443654"/>
      <w:bookmarkStart w:id="4048" w:name="_Toc38443984"/>
      <w:bookmarkStart w:id="4049" w:name="_Toc38438452"/>
      <w:bookmarkStart w:id="4050" w:name="_Toc38438789"/>
      <w:bookmarkStart w:id="4051" w:name="_Toc38439126"/>
      <w:bookmarkStart w:id="4052" w:name="_Toc38439463"/>
      <w:bookmarkStart w:id="4053" w:name="_Toc38439800"/>
      <w:bookmarkStart w:id="4054" w:name="_Toc38440137"/>
      <w:bookmarkStart w:id="4055" w:name="_Toc38440474"/>
      <w:bookmarkStart w:id="4056" w:name="_Toc38441006"/>
      <w:bookmarkStart w:id="4057" w:name="_Toc38441338"/>
      <w:bookmarkStart w:id="4058" w:name="_Toc38441670"/>
      <w:bookmarkStart w:id="4059" w:name="_Toc38441998"/>
      <w:bookmarkStart w:id="4060" w:name="_Toc38442330"/>
      <w:bookmarkStart w:id="4061" w:name="_Toc38442662"/>
      <w:bookmarkStart w:id="4062" w:name="_Toc38442993"/>
      <w:bookmarkStart w:id="4063" w:name="_Toc38443324"/>
      <w:bookmarkStart w:id="4064" w:name="_Toc38443655"/>
      <w:bookmarkStart w:id="4065" w:name="_Toc38443985"/>
      <w:bookmarkStart w:id="4066" w:name="_Toc38438453"/>
      <w:bookmarkStart w:id="4067" w:name="_Toc38438790"/>
      <w:bookmarkStart w:id="4068" w:name="_Toc38439127"/>
      <w:bookmarkStart w:id="4069" w:name="_Toc38439464"/>
      <w:bookmarkStart w:id="4070" w:name="_Toc38439801"/>
      <w:bookmarkStart w:id="4071" w:name="_Toc38440138"/>
      <w:bookmarkStart w:id="4072" w:name="_Toc38440475"/>
      <w:bookmarkStart w:id="4073" w:name="_Toc38441007"/>
      <w:bookmarkStart w:id="4074" w:name="_Toc38441339"/>
      <w:bookmarkStart w:id="4075" w:name="_Toc38441671"/>
      <w:bookmarkStart w:id="4076" w:name="_Toc38441999"/>
      <w:bookmarkStart w:id="4077" w:name="_Toc38442331"/>
      <w:bookmarkStart w:id="4078" w:name="_Toc38442663"/>
      <w:bookmarkStart w:id="4079" w:name="_Toc38442994"/>
      <w:bookmarkStart w:id="4080" w:name="_Toc38443325"/>
      <w:bookmarkStart w:id="4081" w:name="_Toc38443656"/>
      <w:bookmarkStart w:id="4082" w:name="_Toc38443986"/>
      <w:bookmarkStart w:id="4083" w:name="_Toc38438454"/>
      <w:bookmarkStart w:id="4084" w:name="_Toc38438791"/>
      <w:bookmarkStart w:id="4085" w:name="_Toc38439128"/>
      <w:bookmarkStart w:id="4086" w:name="_Toc38439465"/>
      <w:bookmarkStart w:id="4087" w:name="_Toc38439802"/>
      <w:bookmarkStart w:id="4088" w:name="_Toc38440139"/>
      <w:bookmarkStart w:id="4089" w:name="_Toc38440476"/>
      <w:bookmarkStart w:id="4090" w:name="_Toc38441008"/>
      <w:bookmarkStart w:id="4091" w:name="_Toc38441340"/>
      <w:bookmarkStart w:id="4092" w:name="_Toc38441672"/>
      <w:bookmarkStart w:id="4093" w:name="_Toc38442000"/>
      <w:bookmarkStart w:id="4094" w:name="_Toc38442332"/>
      <w:bookmarkStart w:id="4095" w:name="_Toc38442664"/>
      <w:bookmarkStart w:id="4096" w:name="_Toc38442995"/>
      <w:bookmarkStart w:id="4097" w:name="_Toc38443326"/>
      <w:bookmarkStart w:id="4098" w:name="_Toc38443657"/>
      <w:bookmarkStart w:id="4099" w:name="_Toc38443987"/>
      <w:bookmarkStart w:id="4100" w:name="_Toc38438455"/>
      <w:bookmarkStart w:id="4101" w:name="_Toc38438792"/>
      <w:bookmarkStart w:id="4102" w:name="_Toc38439129"/>
      <w:bookmarkStart w:id="4103" w:name="_Toc38439466"/>
      <w:bookmarkStart w:id="4104" w:name="_Toc38439803"/>
      <w:bookmarkStart w:id="4105" w:name="_Toc38440140"/>
      <w:bookmarkStart w:id="4106" w:name="_Toc38440477"/>
      <w:bookmarkStart w:id="4107" w:name="_Toc38441009"/>
      <w:bookmarkStart w:id="4108" w:name="_Toc38441341"/>
      <w:bookmarkStart w:id="4109" w:name="_Toc38441673"/>
      <w:bookmarkStart w:id="4110" w:name="_Toc38442001"/>
      <w:bookmarkStart w:id="4111" w:name="_Toc38442333"/>
      <w:bookmarkStart w:id="4112" w:name="_Toc38442665"/>
      <w:bookmarkStart w:id="4113" w:name="_Toc38442996"/>
      <w:bookmarkStart w:id="4114" w:name="_Toc38443327"/>
      <w:bookmarkStart w:id="4115" w:name="_Toc38443658"/>
      <w:bookmarkStart w:id="4116" w:name="_Toc38443988"/>
      <w:bookmarkStart w:id="4117" w:name="_Toc38438456"/>
      <w:bookmarkStart w:id="4118" w:name="_Toc38438793"/>
      <w:bookmarkStart w:id="4119" w:name="_Toc38439130"/>
      <w:bookmarkStart w:id="4120" w:name="_Toc38439467"/>
      <w:bookmarkStart w:id="4121" w:name="_Toc38439804"/>
      <w:bookmarkStart w:id="4122" w:name="_Toc38440141"/>
      <w:bookmarkStart w:id="4123" w:name="_Toc38440478"/>
      <w:bookmarkStart w:id="4124" w:name="_Toc38441010"/>
      <w:bookmarkStart w:id="4125" w:name="_Toc38441342"/>
      <w:bookmarkStart w:id="4126" w:name="_Toc38441674"/>
      <w:bookmarkStart w:id="4127" w:name="_Toc38442002"/>
      <w:bookmarkStart w:id="4128" w:name="_Toc38442334"/>
      <w:bookmarkStart w:id="4129" w:name="_Toc38442666"/>
      <w:bookmarkStart w:id="4130" w:name="_Toc38442997"/>
      <w:bookmarkStart w:id="4131" w:name="_Toc38443328"/>
      <w:bookmarkStart w:id="4132" w:name="_Toc38443659"/>
      <w:bookmarkStart w:id="4133" w:name="_Toc38443989"/>
      <w:bookmarkStart w:id="4134" w:name="_Toc38438457"/>
      <w:bookmarkStart w:id="4135" w:name="_Toc38438794"/>
      <w:bookmarkStart w:id="4136" w:name="_Toc38439131"/>
      <w:bookmarkStart w:id="4137" w:name="_Toc38439468"/>
      <w:bookmarkStart w:id="4138" w:name="_Toc38439805"/>
      <w:bookmarkStart w:id="4139" w:name="_Toc38440142"/>
      <w:bookmarkStart w:id="4140" w:name="_Toc38440479"/>
      <w:bookmarkStart w:id="4141" w:name="_Toc38441011"/>
      <w:bookmarkStart w:id="4142" w:name="_Toc38441343"/>
      <w:bookmarkStart w:id="4143" w:name="_Toc38441675"/>
      <w:bookmarkStart w:id="4144" w:name="_Toc38442003"/>
      <w:bookmarkStart w:id="4145" w:name="_Toc38442335"/>
      <w:bookmarkStart w:id="4146" w:name="_Toc38442667"/>
      <w:bookmarkStart w:id="4147" w:name="_Toc38442998"/>
      <w:bookmarkStart w:id="4148" w:name="_Toc38443329"/>
      <w:bookmarkStart w:id="4149" w:name="_Toc38443660"/>
      <w:bookmarkStart w:id="4150" w:name="_Toc38443990"/>
      <w:bookmarkStart w:id="4151" w:name="_Toc38438458"/>
      <w:bookmarkStart w:id="4152" w:name="_Toc38438795"/>
      <w:bookmarkStart w:id="4153" w:name="_Toc38439132"/>
      <w:bookmarkStart w:id="4154" w:name="_Toc38439469"/>
      <w:bookmarkStart w:id="4155" w:name="_Toc38439806"/>
      <w:bookmarkStart w:id="4156" w:name="_Toc38440143"/>
      <w:bookmarkStart w:id="4157" w:name="_Toc38440480"/>
      <w:bookmarkStart w:id="4158" w:name="_Toc38441012"/>
      <w:bookmarkStart w:id="4159" w:name="_Toc38441344"/>
      <w:bookmarkStart w:id="4160" w:name="_Toc38441676"/>
      <w:bookmarkStart w:id="4161" w:name="_Toc38442004"/>
      <w:bookmarkStart w:id="4162" w:name="_Toc38442336"/>
      <w:bookmarkStart w:id="4163" w:name="_Toc38442668"/>
      <w:bookmarkStart w:id="4164" w:name="_Toc38442999"/>
      <w:bookmarkStart w:id="4165" w:name="_Toc38443330"/>
      <w:bookmarkStart w:id="4166" w:name="_Toc38443661"/>
      <w:bookmarkStart w:id="4167" w:name="_Toc38443991"/>
      <w:bookmarkStart w:id="4168" w:name="_Toc20148508"/>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r w:rsidRPr="00487553">
        <w:rPr>
          <w:rFonts w:asciiTheme="minorEastAsia" w:eastAsiaTheme="minorEastAsia" w:hAnsiTheme="minorEastAsia"/>
        </w:rPr>
        <w:lastRenderedPageBreak/>
        <w:t>招募说明书存放及查阅方式</w:t>
      </w:r>
      <w:bookmarkEnd w:id="4168"/>
    </w:p>
    <w:p w14:paraId="102AD876" w14:textId="77777777" w:rsidR="007154D7" w:rsidRPr="00487553" w:rsidRDefault="0064594E"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szCs w:val="21"/>
        </w:rPr>
        <w:t>本招募说明书存放在基金管理人、基金托管人及基金</w:t>
      </w:r>
      <w:r w:rsidR="005D6676" w:rsidRPr="00487553">
        <w:rPr>
          <w:rFonts w:asciiTheme="minorEastAsia" w:eastAsiaTheme="minorEastAsia" w:hAnsiTheme="minorEastAsia" w:hint="eastAsia"/>
          <w:szCs w:val="21"/>
        </w:rPr>
        <w:t>销售</w:t>
      </w:r>
      <w:r w:rsidRPr="00487553">
        <w:rPr>
          <w:rFonts w:asciiTheme="minorEastAsia" w:eastAsiaTheme="minorEastAsia" w:hAnsiTheme="minorEastAsia"/>
          <w:szCs w:val="21"/>
        </w:rPr>
        <w:t>机构住所，投资者可在营业时间免费查阅，也可按工本费购买复印件。</w:t>
      </w:r>
    </w:p>
    <w:p w14:paraId="56BEE2E2" w14:textId="77777777" w:rsidR="0064594E" w:rsidRPr="00487553" w:rsidRDefault="0064594E" w:rsidP="00D94E68">
      <w:pPr>
        <w:snapToGrid w:val="0"/>
        <w:spacing w:line="360" w:lineRule="auto"/>
        <w:ind w:firstLine="480"/>
        <w:rPr>
          <w:rFonts w:asciiTheme="minorEastAsia" w:eastAsiaTheme="minorEastAsia" w:hAnsiTheme="minorEastAsia"/>
          <w:szCs w:val="21"/>
        </w:rPr>
      </w:pPr>
      <w:r w:rsidRPr="00487553">
        <w:rPr>
          <w:rFonts w:asciiTheme="minorEastAsia" w:eastAsiaTheme="minorEastAsia" w:hAnsiTheme="minorEastAsia"/>
        </w:rPr>
        <w:t>基金管理人和基金托管人保证文本的内容与公告的内容完全一致。</w:t>
      </w:r>
    </w:p>
    <w:p w14:paraId="7412E4E5" w14:textId="26671D1F" w:rsidR="0064594E" w:rsidRPr="00487553" w:rsidRDefault="0064594E" w:rsidP="00D94E68">
      <w:pPr>
        <w:pStyle w:val="11"/>
        <w:numPr>
          <w:ilvl w:val="0"/>
          <w:numId w:val="14"/>
        </w:numPr>
        <w:snapToGrid w:val="0"/>
        <w:spacing w:beforeLines="0" w:afterLines="0" w:line="360" w:lineRule="auto"/>
        <w:ind w:firstLineChars="0"/>
        <w:rPr>
          <w:rFonts w:asciiTheme="minorEastAsia" w:eastAsiaTheme="minorEastAsia" w:hAnsiTheme="minorEastAsia"/>
        </w:rPr>
      </w:pPr>
      <w:bookmarkStart w:id="4169" w:name="_Toc20148509"/>
      <w:r w:rsidRPr="00487553">
        <w:rPr>
          <w:rFonts w:asciiTheme="minorEastAsia" w:eastAsiaTheme="minorEastAsia" w:hAnsiTheme="minorEastAsia"/>
        </w:rPr>
        <w:lastRenderedPageBreak/>
        <w:t>备查文件</w:t>
      </w:r>
      <w:bookmarkEnd w:id="4169"/>
    </w:p>
    <w:p w14:paraId="13E41B82" w14:textId="77777777"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1、</w:t>
      </w:r>
      <w:r w:rsidR="0064594E" w:rsidRPr="00487553">
        <w:rPr>
          <w:rFonts w:asciiTheme="minorEastAsia" w:eastAsiaTheme="minorEastAsia" w:hAnsiTheme="minorEastAsia"/>
        </w:rPr>
        <w:t>中国证监会核准易方达</w:t>
      </w:r>
      <w:r w:rsidR="0057643B" w:rsidRPr="00487553">
        <w:rPr>
          <w:rFonts w:asciiTheme="minorEastAsia" w:eastAsiaTheme="minorEastAsia" w:hAnsiTheme="minorEastAsia"/>
        </w:rPr>
        <w:t>恒生中国企业交易型开放式指数证券投资基金联接基金</w:t>
      </w:r>
      <w:r w:rsidR="0064594E" w:rsidRPr="00487553">
        <w:rPr>
          <w:rFonts w:asciiTheme="minorEastAsia" w:eastAsiaTheme="minorEastAsia" w:hAnsiTheme="minorEastAsia"/>
        </w:rPr>
        <w:t>募集的文件；</w:t>
      </w:r>
    </w:p>
    <w:p w14:paraId="30FFF683" w14:textId="0CBEC6AC"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2、</w:t>
      </w:r>
      <w:r w:rsidR="0064594E" w:rsidRPr="00487553">
        <w:rPr>
          <w:rFonts w:asciiTheme="minorEastAsia" w:eastAsiaTheme="minorEastAsia" w:hAnsiTheme="minorEastAsia"/>
        </w:rPr>
        <w:t>《</w:t>
      </w:r>
      <w:r w:rsidR="00BC05A0" w:rsidRPr="00487553">
        <w:rPr>
          <w:rFonts w:asciiTheme="minorEastAsia" w:eastAsiaTheme="minorEastAsia" w:hAnsiTheme="minorEastAsia"/>
        </w:rPr>
        <w:t>易方达恒生中国企业交易型开放式指数证券投资基金联接基金</w:t>
      </w:r>
      <w:r w:rsidR="0064594E" w:rsidRPr="00487553">
        <w:rPr>
          <w:rFonts w:asciiTheme="minorEastAsia" w:eastAsiaTheme="minorEastAsia" w:hAnsiTheme="minorEastAsia"/>
        </w:rPr>
        <w:t>基金合同》；</w:t>
      </w:r>
    </w:p>
    <w:p w14:paraId="66A0C07A" w14:textId="77777777"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3、</w:t>
      </w:r>
      <w:r w:rsidR="0064594E" w:rsidRPr="00487553">
        <w:rPr>
          <w:rFonts w:asciiTheme="minorEastAsia" w:eastAsiaTheme="minorEastAsia" w:hAnsiTheme="minorEastAsia"/>
        </w:rPr>
        <w:t>《易方达</w:t>
      </w:r>
      <w:r w:rsidR="00BC05A0" w:rsidRPr="00487553">
        <w:rPr>
          <w:rFonts w:asciiTheme="minorEastAsia" w:eastAsiaTheme="minorEastAsia" w:hAnsiTheme="minorEastAsia"/>
        </w:rPr>
        <w:t>恒生中国企业交易型开放式指数证券投资基金联接基金</w:t>
      </w:r>
      <w:r w:rsidR="0064594E" w:rsidRPr="00487553">
        <w:rPr>
          <w:rFonts w:asciiTheme="minorEastAsia" w:eastAsiaTheme="minorEastAsia" w:hAnsiTheme="minorEastAsia"/>
        </w:rPr>
        <w:t>托管协议》；</w:t>
      </w:r>
    </w:p>
    <w:p w14:paraId="4004EDB3" w14:textId="77777777" w:rsidR="00C60980"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4、</w:t>
      </w:r>
      <w:r w:rsidR="00C60980" w:rsidRPr="00487553">
        <w:rPr>
          <w:rFonts w:asciiTheme="minorEastAsia" w:eastAsiaTheme="minorEastAsia" w:hAnsiTheme="minorEastAsia" w:hint="eastAsia"/>
        </w:rPr>
        <w:t>《易方达基金管理有限公司开放式基金业务规则》；</w:t>
      </w:r>
    </w:p>
    <w:p w14:paraId="181FBCA7" w14:textId="77777777"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5、</w:t>
      </w:r>
      <w:r w:rsidR="0064594E" w:rsidRPr="00487553">
        <w:rPr>
          <w:rFonts w:asciiTheme="minorEastAsia" w:eastAsiaTheme="minorEastAsia" w:hAnsiTheme="minorEastAsia"/>
        </w:rPr>
        <w:t>法律意见书；</w:t>
      </w:r>
    </w:p>
    <w:p w14:paraId="1495173B" w14:textId="77777777"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6、</w:t>
      </w:r>
      <w:r w:rsidR="0064594E" w:rsidRPr="00487553">
        <w:rPr>
          <w:rFonts w:asciiTheme="minorEastAsia" w:eastAsiaTheme="minorEastAsia" w:hAnsiTheme="minorEastAsia"/>
        </w:rPr>
        <w:t>基金管理人业务资格批件和营业执照；</w:t>
      </w:r>
    </w:p>
    <w:p w14:paraId="36A8EDA1" w14:textId="77777777" w:rsidR="0064594E" w:rsidRPr="00487553" w:rsidRDefault="00DB7712"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hint="eastAsia"/>
        </w:rPr>
        <w:t>7、</w:t>
      </w:r>
      <w:r w:rsidR="0064594E" w:rsidRPr="00487553">
        <w:rPr>
          <w:rFonts w:asciiTheme="minorEastAsia" w:eastAsiaTheme="minorEastAsia" w:hAnsiTheme="minorEastAsia"/>
        </w:rPr>
        <w:t>基金托管人业务资格批件和营业执照。</w:t>
      </w:r>
    </w:p>
    <w:p w14:paraId="09B10000" w14:textId="77777777" w:rsidR="0064594E" w:rsidRPr="00487553" w:rsidRDefault="0064594E"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rPr>
        <w:t>存放地点：基金管理人、基金托管人处</w:t>
      </w:r>
      <w:r w:rsidR="00FF3126" w:rsidRPr="00487553">
        <w:rPr>
          <w:rFonts w:asciiTheme="minorEastAsia" w:eastAsiaTheme="minorEastAsia" w:hAnsiTheme="minorEastAsia"/>
        </w:rPr>
        <w:t>。</w:t>
      </w:r>
    </w:p>
    <w:p w14:paraId="6659B08D" w14:textId="77777777" w:rsidR="00847DFF" w:rsidRPr="00487553" w:rsidRDefault="0064594E" w:rsidP="00D94E68">
      <w:pPr>
        <w:snapToGrid w:val="0"/>
        <w:spacing w:line="360" w:lineRule="auto"/>
        <w:ind w:firstLine="480"/>
        <w:rPr>
          <w:rFonts w:asciiTheme="minorEastAsia" w:eastAsiaTheme="minorEastAsia" w:hAnsiTheme="minorEastAsia"/>
        </w:rPr>
      </w:pPr>
      <w:r w:rsidRPr="00487553">
        <w:rPr>
          <w:rFonts w:asciiTheme="minorEastAsia" w:eastAsiaTheme="minorEastAsia" w:hAnsiTheme="minorEastAsia"/>
        </w:rPr>
        <w:t>查阅方式：投资者可在营业时间免费查阅，也可按工本费购买复印件。</w:t>
      </w:r>
    </w:p>
    <w:p w14:paraId="19D7060A" w14:textId="77777777" w:rsidR="0064594E" w:rsidRPr="00487553" w:rsidRDefault="0064594E" w:rsidP="00D94E68">
      <w:pPr>
        <w:snapToGrid w:val="0"/>
        <w:spacing w:line="360" w:lineRule="auto"/>
        <w:ind w:firstLineChars="200" w:firstLine="420"/>
        <w:rPr>
          <w:rFonts w:asciiTheme="minorEastAsia" w:eastAsiaTheme="minorEastAsia" w:hAnsiTheme="minorEastAsia"/>
          <w:szCs w:val="21"/>
        </w:rPr>
      </w:pPr>
    </w:p>
    <w:p w14:paraId="690F67ED" w14:textId="77777777" w:rsidR="00C724EA" w:rsidRPr="00487553" w:rsidRDefault="00C724EA" w:rsidP="00D94E68">
      <w:pPr>
        <w:snapToGrid w:val="0"/>
        <w:spacing w:line="360" w:lineRule="auto"/>
        <w:ind w:firstLineChars="200" w:firstLine="420"/>
        <w:rPr>
          <w:rFonts w:asciiTheme="minorEastAsia" w:eastAsiaTheme="minorEastAsia" w:hAnsiTheme="minorEastAsia"/>
          <w:szCs w:val="21"/>
        </w:rPr>
      </w:pPr>
    </w:p>
    <w:p w14:paraId="0F12D514" w14:textId="77777777" w:rsidR="005B4864" w:rsidRPr="00487553" w:rsidRDefault="005B4864" w:rsidP="00D94E68">
      <w:pPr>
        <w:snapToGrid w:val="0"/>
        <w:spacing w:line="360" w:lineRule="auto"/>
        <w:ind w:firstLine="480"/>
        <w:jc w:val="right"/>
        <w:rPr>
          <w:rFonts w:asciiTheme="minorEastAsia" w:eastAsiaTheme="minorEastAsia" w:hAnsiTheme="minorEastAsia"/>
        </w:rPr>
      </w:pPr>
      <w:r w:rsidRPr="00487553">
        <w:rPr>
          <w:rFonts w:asciiTheme="minorEastAsia" w:eastAsiaTheme="minorEastAsia" w:hAnsiTheme="minorEastAsia" w:hint="eastAsia"/>
        </w:rPr>
        <w:t>易方达基金管理有限公司</w:t>
      </w:r>
    </w:p>
    <w:p w14:paraId="60851BE8" w14:textId="1B311EDF" w:rsidR="0064594E" w:rsidRPr="00487553" w:rsidRDefault="00BF53B1" w:rsidP="00C724EA">
      <w:pPr>
        <w:wordWrap w:val="0"/>
        <w:snapToGrid w:val="0"/>
        <w:spacing w:line="360" w:lineRule="auto"/>
        <w:ind w:right="315"/>
        <w:jc w:val="right"/>
        <w:rPr>
          <w:rFonts w:asciiTheme="minorEastAsia" w:eastAsiaTheme="minorEastAsia" w:hAnsiTheme="minorEastAsia"/>
          <w:szCs w:val="21"/>
        </w:rPr>
      </w:pPr>
      <w:r w:rsidRPr="00487553">
        <w:rPr>
          <w:rFonts w:asciiTheme="minorEastAsia" w:eastAsiaTheme="minorEastAsia" w:hAnsiTheme="minorEastAsia"/>
        </w:rPr>
        <w:t>2019年</w:t>
      </w:r>
      <w:r w:rsidR="00487553" w:rsidRPr="00487553">
        <w:rPr>
          <w:rFonts w:asciiTheme="minorEastAsia" w:eastAsiaTheme="minorEastAsia" w:hAnsiTheme="minorEastAsia"/>
        </w:rPr>
        <w:t>9</w:t>
      </w:r>
      <w:r w:rsidRPr="00487553">
        <w:rPr>
          <w:rFonts w:asciiTheme="minorEastAsia" w:eastAsiaTheme="minorEastAsia" w:hAnsiTheme="minorEastAsia"/>
        </w:rPr>
        <w:t>月</w:t>
      </w:r>
      <w:r w:rsidR="00487553" w:rsidRPr="00487553">
        <w:rPr>
          <w:rFonts w:asciiTheme="minorEastAsia" w:eastAsiaTheme="minorEastAsia" w:hAnsiTheme="minorEastAsia"/>
        </w:rPr>
        <w:t>24</w:t>
      </w:r>
      <w:r w:rsidRPr="00487553">
        <w:rPr>
          <w:rFonts w:asciiTheme="minorEastAsia" w:eastAsiaTheme="minorEastAsia" w:hAnsiTheme="minorEastAsia"/>
        </w:rPr>
        <w:t>日</w:t>
      </w:r>
    </w:p>
    <w:sectPr w:rsidR="0064594E" w:rsidRPr="00487553" w:rsidSect="00347BD1">
      <w:pgSz w:w="11906" w:h="16838" w:code="9"/>
      <w:pgMar w:top="1440" w:right="1797" w:bottom="1440" w:left="1843" w:header="851" w:footer="992" w:gutter="0"/>
      <w:cols w:space="425"/>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A82B" w14:textId="77777777" w:rsidR="00E51D7B" w:rsidRDefault="00E51D7B">
      <w:r>
        <w:separator/>
      </w:r>
    </w:p>
  </w:endnote>
  <w:endnote w:type="continuationSeparator" w:id="0">
    <w:p w14:paraId="3B736D7D" w14:textId="77777777" w:rsidR="00E51D7B" w:rsidRDefault="00E5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ˎ̥">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ACB1" w14:textId="77777777" w:rsidR="006C522E" w:rsidRDefault="006C522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A0DE" w14:textId="77777777" w:rsidR="006C522E" w:rsidRDefault="006C522E" w:rsidP="00F56962">
    <w:pPr>
      <w:pStyle w:val="a5"/>
      <w:ind w:rightChars="171" w:right="359" w:firstLineChars="1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199F6" w14:textId="77777777" w:rsidR="006C522E" w:rsidRDefault="006C522E" w:rsidP="007E29F9">
    <w:pPr>
      <w:pStyle w:val="a5"/>
      <w:framePr w:wrap="around" w:vAnchor="text" w:hAnchor="page" w:x="5626" w:y="1"/>
      <w:ind w:firstLineChars="0" w:firstLine="0"/>
      <w:rPr>
        <w:rStyle w:val="a4"/>
      </w:rPr>
    </w:pPr>
  </w:p>
  <w:p w14:paraId="0AFC4517" w14:textId="77777777" w:rsidR="006C522E" w:rsidRDefault="006C522E" w:rsidP="007E29F9">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37E0" w14:textId="77777777" w:rsidR="006C522E" w:rsidRDefault="006C522E">
    <w:pPr>
      <w:pStyle w:val="a5"/>
      <w:framePr w:wrap="around" w:vAnchor="text" w:hAnchor="page" w:x="5626" w:y="7"/>
      <w:ind w:firstLineChars="0" w:firstLine="0"/>
      <w:rPr>
        <w:rStyle w:val="a4"/>
      </w:rPr>
    </w:pPr>
    <w:r>
      <w:rPr>
        <w:rStyle w:val="a4"/>
      </w:rPr>
      <w:fldChar w:fldCharType="begin"/>
    </w:r>
    <w:r>
      <w:rPr>
        <w:rStyle w:val="a4"/>
      </w:rPr>
      <w:instrText xml:space="preserve">PAGE  </w:instrText>
    </w:r>
    <w:r>
      <w:rPr>
        <w:rStyle w:val="a4"/>
      </w:rPr>
      <w:fldChar w:fldCharType="separate"/>
    </w:r>
    <w:r w:rsidR="00A0463E">
      <w:rPr>
        <w:rStyle w:val="a4"/>
        <w:noProof/>
      </w:rPr>
      <w:t>14</w:t>
    </w:r>
    <w:r>
      <w:rPr>
        <w:rStyle w:val="a4"/>
      </w:rPr>
      <w:fldChar w:fldCharType="end"/>
    </w:r>
  </w:p>
  <w:p w14:paraId="3B015D60" w14:textId="77777777" w:rsidR="006C522E" w:rsidRDefault="006C522E" w:rsidP="00B122C9">
    <w:pPr>
      <w:pStyle w:val="a5"/>
      <w:ind w:rightChars="171" w:right="359" w:firstLineChars="1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99F6" w14:textId="77777777" w:rsidR="006C522E" w:rsidRDefault="006C522E" w:rsidP="007E29F9">
    <w:pPr>
      <w:pStyle w:val="a5"/>
      <w:framePr w:wrap="around" w:vAnchor="text" w:hAnchor="page" w:x="5626" w:y="1"/>
      <w:ind w:firstLineChars="0" w:firstLine="0"/>
      <w:rPr>
        <w:rStyle w:val="a4"/>
      </w:rPr>
    </w:pPr>
    <w:r>
      <w:rPr>
        <w:rStyle w:val="a4"/>
      </w:rPr>
      <w:fldChar w:fldCharType="begin"/>
    </w:r>
    <w:r>
      <w:rPr>
        <w:rStyle w:val="a4"/>
      </w:rPr>
      <w:instrText xml:space="preserve">PAGE  </w:instrText>
    </w:r>
    <w:r>
      <w:rPr>
        <w:rStyle w:val="a4"/>
      </w:rPr>
      <w:fldChar w:fldCharType="separate"/>
    </w:r>
    <w:r w:rsidR="00A0463E">
      <w:rPr>
        <w:rStyle w:val="a4"/>
        <w:noProof/>
      </w:rPr>
      <w:t>I</w:t>
    </w:r>
    <w:r>
      <w:rPr>
        <w:rStyle w:val="a4"/>
      </w:rPr>
      <w:fldChar w:fldCharType="end"/>
    </w:r>
  </w:p>
  <w:p w14:paraId="63373ABF" w14:textId="77777777" w:rsidR="006C522E" w:rsidRDefault="006C522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7E83" w14:textId="77777777" w:rsidR="00E51D7B" w:rsidRDefault="00E51D7B">
      <w:r>
        <w:separator/>
      </w:r>
    </w:p>
  </w:footnote>
  <w:footnote w:type="continuationSeparator" w:id="0">
    <w:p w14:paraId="56DC45CA" w14:textId="77777777" w:rsidR="00E51D7B" w:rsidRDefault="00E5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E7333" w14:textId="77777777" w:rsidR="006C522E" w:rsidRDefault="006C522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76BE" w14:textId="77777777" w:rsidR="006C522E" w:rsidRDefault="006C522E" w:rsidP="009B129A">
    <w:pPr>
      <w:pStyle w:val="a3"/>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4F84"/>
    <w:multiLevelType w:val="hybridMultilevel"/>
    <w:tmpl w:val="78968E76"/>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3AF6EE7"/>
    <w:multiLevelType w:val="hybridMultilevel"/>
    <w:tmpl w:val="B3043D44"/>
    <w:lvl w:ilvl="0" w:tplc="033443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2" w15:restartNumberingAfterBreak="0">
    <w:nsid w:val="03BE502F"/>
    <w:multiLevelType w:val="hybridMultilevel"/>
    <w:tmpl w:val="A2CCFCC0"/>
    <w:lvl w:ilvl="0" w:tplc="033443B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04BF52BF"/>
    <w:multiLevelType w:val="hybridMultilevel"/>
    <w:tmpl w:val="5FA21F62"/>
    <w:lvl w:ilvl="0" w:tplc="F50A11D2">
      <w:start w:val="1"/>
      <w:numFmt w:val="chineseCountingThousand"/>
      <w:lvlText w:val="%1、"/>
      <w:lvlJc w:val="left"/>
      <w:pPr>
        <w:ind w:left="84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C809CD"/>
    <w:multiLevelType w:val="hybridMultilevel"/>
    <w:tmpl w:val="6D780D7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4B0994"/>
    <w:multiLevelType w:val="hybridMultilevel"/>
    <w:tmpl w:val="9766C0BC"/>
    <w:lvl w:ilvl="0" w:tplc="B9E2B97C">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654487"/>
    <w:multiLevelType w:val="multilevel"/>
    <w:tmpl w:val="8462131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094C5E14"/>
    <w:multiLevelType w:val="hybridMultilevel"/>
    <w:tmpl w:val="FB3EFFF6"/>
    <w:lvl w:ilvl="0" w:tplc="04090013">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AD8239B"/>
    <w:multiLevelType w:val="hybridMultilevel"/>
    <w:tmpl w:val="F91E79C0"/>
    <w:lvl w:ilvl="0" w:tplc="04090013">
      <w:start w:val="1"/>
      <w:numFmt w:val="chineseCountingThousand"/>
      <w:lvlText w:val="%1、"/>
      <w:lvlJc w:val="left"/>
      <w:pPr>
        <w:ind w:left="840" w:hanging="420"/>
      </w:pPr>
    </w:lvl>
    <w:lvl w:ilvl="1" w:tplc="E5987DAC">
      <w:start w:val="1"/>
      <w:numFmt w:val="upp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0D5079D7"/>
    <w:multiLevelType w:val="hybridMultilevel"/>
    <w:tmpl w:val="E0B4E7D2"/>
    <w:lvl w:ilvl="0" w:tplc="5E3806B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0E323CCD"/>
    <w:multiLevelType w:val="hybridMultilevel"/>
    <w:tmpl w:val="7E94503E"/>
    <w:lvl w:ilvl="0" w:tplc="10BA35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E6B5387"/>
    <w:multiLevelType w:val="hybridMultilevel"/>
    <w:tmpl w:val="6DC6D070"/>
    <w:lvl w:ilvl="0" w:tplc="0A825CCA">
      <w:start w:val="1"/>
      <w:numFmt w:val="chineseCountingThousand"/>
      <w:lvlText w:val="%1、"/>
      <w:lvlJc w:val="left"/>
      <w:pPr>
        <w:ind w:left="84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AC36EB"/>
    <w:multiLevelType w:val="hybridMultilevel"/>
    <w:tmpl w:val="24C648EA"/>
    <w:lvl w:ilvl="0" w:tplc="AAFC0E0A">
      <w:start w:val="1"/>
      <w:numFmt w:val="decimal"/>
      <w:lvlText w:val="（%1）"/>
      <w:lvlJc w:val="left"/>
      <w:pPr>
        <w:tabs>
          <w:tab w:val="num" w:pos="1260"/>
        </w:tabs>
        <w:ind w:left="1260" w:hanging="420"/>
      </w:pPr>
      <w:rPr>
        <w:rFonts w:hint="default"/>
      </w:rPr>
    </w:lvl>
    <w:lvl w:ilvl="1" w:tplc="E39EB42C">
      <w:start w:val="1"/>
      <w:numFmt w:val="japaneseCounting"/>
      <w:lvlText w:val="（%2）"/>
      <w:lvlJc w:val="left"/>
      <w:pPr>
        <w:tabs>
          <w:tab w:val="num" w:pos="1980"/>
        </w:tabs>
        <w:ind w:left="1980" w:hanging="720"/>
      </w:pPr>
      <w:rPr>
        <w:rFonts w:hint="default"/>
      </w:r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3" w15:restartNumberingAfterBreak="0">
    <w:nsid w:val="123124BC"/>
    <w:multiLevelType w:val="hybridMultilevel"/>
    <w:tmpl w:val="9766C0BC"/>
    <w:lvl w:ilvl="0" w:tplc="B9E2B97C">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32777B9"/>
    <w:multiLevelType w:val="hybridMultilevel"/>
    <w:tmpl w:val="B2BA262C"/>
    <w:lvl w:ilvl="0" w:tplc="0A825CCA">
      <w:start w:val="1"/>
      <w:numFmt w:val="chineseCountingThousand"/>
      <w:lvlText w:val="%1、"/>
      <w:lvlJc w:val="left"/>
      <w:pPr>
        <w:ind w:left="84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866181"/>
    <w:multiLevelType w:val="hybridMultilevel"/>
    <w:tmpl w:val="6906A39C"/>
    <w:lvl w:ilvl="0" w:tplc="10BA35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170F49A0"/>
    <w:multiLevelType w:val="hybridMultilevel"/>
    <w:tmpl w:val="61022932"/>
    <w:lvl w:ilvl="0" w:tplc="35FEE406">
      <w:start w:val="1"/>
      <w:numFmt w:val="lowerLetter"/>
      <w:lvlText w:val="%1."/>
      <w:lvlJc w:val="left"/>
      <w:pPr>
        <w:ind w:left="1770" w:hanging="57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7" w15:restartNumberingAfterBreak="0">
    <w:nsid w:val="18BA49EC"/>
    <w:multiLevelType w:val="hybridMultilevel"/>
    <w:tmpl w:val="7DC42D7C"/>
    <w:lvl w:ilvl="0" w:tplc="0FD245BC">
      <w:start w:val="1"/>
      <w:numFmt w:val="chineseCountingThousand"/>
      <w:lvlText w:val="%1、"/>
      <w:lvlJc w:val="left"/>
      <w:pPr>
        <w:ind w:left="420" w:hanging="420"/>
      </w:pPr>
      <w:rPr>
        <w:rFonts w:hint="eastAsia"/>
      </w:rPr>
    </w:lvl>
    <w:lvl w:ilvl="1" w:tplc="04090013">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91027A0"/>
    <w:multiLevelType w:val="hybridMultilevel"/>
    <w:tmpl w:val="B1242E58"/>
    <w:lvl w:ilvl="0" w:tplc="AAFC0E0A">
      <w:start w:val="1"/>
      <w:numFmt w:val="decimal"/>
      <w:lvlText w:val="（%1）"/>
      <w:lvlJc w:val="left"/>
      <w:pPr>
        <w:tabs>
          <w:tab w:val="num" w:pos="1260"/>
        </w:tabs>
        <w:ind w:left="126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1A6D6F7E"/>
    <w:multiLevelType w:val="hybridMultilevel"/>
    <w:tmpl w:val="16E826FC"/>
    <w:lvl w:ilvl="0" w:tplc="271E205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ACC458D"/>
    <w:multiLevelType w:val="hybridMultilevel"/>
    <w:tmpl w:val="B700FA2E"/>
    <w:lvl w:ilvl="0" w:tplc="BCACA318">
      <w:start w:val="1"/>
      <w:numFmt w:val="decimal"/>
      <w:lvlText w:val="%1."/>
      <w:lvlJc w:val="left"/>
      <w:pPr>
        <w:tabs>
          <w:tab w:val="num" w:pos="420"/>
        </w:tabs>
        <w:ind w:left="420" w:hanging="420"/>
      </w:pPr>
    </w:lvl>
    <w:lvl w:ilvl="1" w:tplc="41EC7C04">
      <w:start w:val="1"/>
      <w:numFmt w:val="decimal"/>
      <w:lvlText w:val="（%2）"/>
      <w:lvlJc w:val="left"/>
      <w:pPr>
        <w:tabs>
          <w:tab w:val="num" w:pos="840"/>
        </w:tabs>
        <w:ind w:left="840" w:hanging="420"/>
      </w:pPr>
      <w:rPr>
        <w:rFonts w:hint="default"/>
        <w:lang w:val="en-US"/>
      </w:rPr>
    </w:lvl>
    <w:lvl w:ilvl="2" w:tplc="4252D3E2" w:tentative="1">
      <w:start w:val="1"/>
      <w:numFmt w:val="lowerRoman"/>
      <w:lvlText w:val="%3."/>
      <w:lvlJc w:val="right"/>
      <w:pPr>
        <w:tabs>
          <w:tab w:val="num" w:pos="1260"/>
        </w:tabs>
        <w:ind w:left="1260" w:hanging="420"/>
      </w:pPr>
    </w:lvl>
    <w:lvl w:ilvl="3" w:tplc="0F48B4F4" w:tentative="1">
      <w:start w:val="1"/>
      <w:numFmt w:val="decimal"/>
      <w:lvlText w:val="%4."/>
      <w:lvlJc w:val="left"/>
      <w:pPr>
        <w:tabs>
          <w:tab w:val="num" w:pos="1680"/>
        </w:tabs>
        <w:ind w:left="1680" w:hanging="420"/>
      </w:pPr>
    </w:lvl>
    <w:lvl w:ilvl="4" w:tplc="756ACC80" w:tentative="1">
      <w:start w:val="1"/>
      <w:numFmt w:val="lowerLetter"/>
      <w:lvlText w:val="%5)"/>
      <w:lvlJc w:val="left"/>
      <w:pPr>
        <w:tabs>
          <w:tab w:val="num" w:pos="2100"/>
        </w:tabs>
        <w:ind w:left="2100" w:hanging="420"/>
      </w:pPr>
    </w:lvl>
    <w:lvl w:ilvl="5" w:tplc="D9307EA2" w:tentative="1">
      <w:start w:val="1"/>
      <w:numFmt w:val="lowerRoman"/>
      <w:lvlText w:val="%6."/>
      <w:lvlJc w:val="right"/>
      <w:pPr>
        <w:tabs>
          <w:tab w:val="num" w:pos="2520"/>
        </w:tabs>
        <w:ind w:left="2520" w:hanging="420"/>
      </w:pPr>
    </w:lvl>
    <w:lvl w:ilvl="6" w:tplc="6E4E1D18" w:tentative="1">
      <w:start w:val="1"/>
      <w:numFmt w:val="decimal"/>
      <w:lvlText w:val="%7."/>
      <w:lvlJc w:val="left"/>
      <w:pPr>
        <w:tabs>
          <w:tab w:val="num" w:pos="2940"/>
        </w:tabs>
        <w:ind w:left="2940" w:hanging="420"/>
      </w:pPr>
    </w:lvl>
    <w:lvl w:ilvl="7" w:tplc="86A4B8AE" w:tentative="1">
      <w:start w:val="1"/>
      <w:numFmt w:val="lowerLetter"/>
      <w:lvlText w:val="%8)"/>
      <w:lvlJc w:val="left"/>
      <w:pPr>
        <w:tabs>
          <w:tab w:val="num" w:pos="3360"/>
        </w:tabs>
        <w:ind w:left="3360" w:hanging="420"/>
      </w:pPr>
    </w:lvl>
    <w:lvl w:ilvl="8" w:tplc="6ED8D46A" w:tentative="1">
      <w:start w:val="1"/>
      <w:numFmt w:val="lowerRoman"/>
      <w:lvlText w:val="%9."/>
      <w:lvlJc w:val="right"/>
      <w:pPr>
        <w:tabs>
          <w:tab w:val="num" w:pos="3780"/>
        </w:tabs>
        <w:ind w:left="3780" w:hanging="420"/>
      </w:pPr>
    </w:lvl>
  </w:abstractNum>
  <w:abstractNum w:abstractNumId="21" w15:restartNumberingAfterBreak="0">
    <w:nsid w:val="1B280206"/>
    <w:multiLevelType w:val="hybridMultilevel"/>
    <w:tmpl w:val="209E98B4"/>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1BAB1431"/>
    <w:multiLevelType w:val="hybridMultilevel"/>
    <w:tmpl w:val="EFC2933A"/>
    <w:lvl w:ilvl="0" w:tplc="B54242B0">
      <w:start w:val="1"/>
      <w:numFmt w:val="japaneseCounting"/>
      <w:lvlText w:val="%1、"/>
      <w:lvlJc w:val="left"/>
      <w:pPr>
        <w:ind w:left="1575" w:hanging="420"/>
      </w:pPr>
      <w:rPr>
        <w:rFonts w:ascii="Times New Roman" w:eastAsia="仿宋_GB2312" w:hAnsi="Times New Roman" w:cs="Times New Roman" w:hint="default"/>
        <w:color w:val="0000FF"/>
        <w:u w:val="single"/>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23" w15:restartNumberingAfterBreak="0">
    <w:nsid w:val="1E375A21"/>
    <w:multiLevelType w:val="hybridMultilevel"/>
    <w:tmpl w:val="B90A622C"/>
    <w:lvl w:ilvl="0" w:tplc="04090019">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210A34B1"/>
    <w:multiLevelType w:val="hybridMultilevel"/>
    <w:tmpl w:val="A5762C74"/>
    <w:lvl w:ilvl="0" w:tplc="7D9427C8">
      <w:start w:val="1"/>
      <w:numFmt w:val="japaneseCounting"/>
      <w:lvlText w:val="%1、"/>
      <w:lvlJc w:val="left"/>
      <w:pPr>
        <w:ind w:left="1575" w:hanging="420"/>
      </w:pPr>
      <w:rPr>
        <w:rFonts w:ascii="Times New Roman" w:eastAsia="仿宋_GB2312" w:hAnsi="Times New Roman" w:cs="Times New Roman" w:hint="default"/>
        <w:color w:val="0000FF"/>
        <w:u w:val="single"/>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25" w15:restartNumberingAfterBreak="0">
    <w:nsid w:val="22B82E80"/>
    <w:multiLevelType w:val="hybridMultilevel"/>
    <w:tmpl w:val="CD00388C"/>
    <w:lvl w:ilvl="0" w:tplc="04090001">
      <w:start w:val="1"/>
      <w:numFmt w:val="chineseCountingThousand"/>
      <w:lvlText w:val="%1、"/>
      <w:lvlJc w:val="left"/>
      <w:pPr>
        <w:ind w:left="840" w:hanging="420"/>
      </w:pPr>
      <w:rPr>
        <w:rFonts w:hint="eastAsia"/>
      </w:rPr>
    </w:lvl>
    <w:lvl w:ilvl="1" w:tplc="04090003" w:tentative="1">
      <w:start w:val="1"/>
      <w:numFmt w:val="lowerLetter"/>
      <w:lvlText w:val="%2)"/>
      <w:lvlJc w:val="left"/>
      <w:pPr>
        <w:ind w:left="1260" w:hanging="420"/>
      </w:pPr>
    </w:lvl>
    <w:lvl w:ilvl="2" w:tplc="04090005" w:tentative="1">
      <w:start w:val="1"/>
      <w:numFmt w:val="lowerRoman"/>
      <w:lvlText w:val="%3."/>
      <w:lvlJc w:val="right"/>
      <w:pPr>
        <w:ind w:left="1680" w:hanging="420"/>
      </w:pPr>
    </w:lvl>
    <w:lvl w:ilvl="3" w:tplc="04090001" w:tentative="1">
      <w:start w:val="1"/>
      <w:numFmt w:val="decimal"/>
      <w:lvlText w:val="%4."/>
      <w:lvlJc w:val="left"/>
      <w:pPr>
        <w:ind w:left="2100" w:hanging="420"/>
      </w:pPr>
    </w:lvl>
    <w:lvl w:ilvl="4" w:tplc="04090003" w:tentative="1">
      <w:start w:val="1"/>
      <w:numFmt w:val="lowerLetter"/>
      <w:lvlText w:val="%5)"/>
      <w:lvlJc w:val="left"/>
      <w:pPr>
        <w:ind w:left="2520" w:hanging="420"/>
      </w:pPr>
    </w:lvl>
    <w:lvl w:ilvl="5" w:tplc="04090005" w:tentative="1">
      <w:start w:val="1"/>
      <w:numFmt w:val="lowerRoman"/>
      <w:lvlText w:val="%6."/>
      <w:lvlJc w:val="right"/>
      <w:pPr>
        <w:ind w:left="2940" w:hanging="420"/>
      </w:pPr>
    </w:lvl>
    <w:lvl w:ilvl="6" w:tplc="04090001" w:tentative="1">
      <w:start w:val="1"/>
      <w:numFmt w:val="decimal"/>
      <w:lvlText w:val="%7."/>
      <w:lvlJc w:val="left"/>
      <w:pPr>
        <w:ind w:left="3360" w:hanging="420"/>
      </w:pPr>
    </w:lvl>
    <w:lvl w:ilvl="7" w:tplc="04090003" w:tentative="1">
      <w:start w:val="1"/>
      <w:numFmt w:val="lowerLetter"/>
      <w:lvlText w:val="%8)"/>
      <w:lvlJc w:val="left"/>
      <w:pPr>
        <w:ind w:left="3780" w:hanging="420"/>
      </w:pPr>
    </w:lvl>
    <w:lvl w:ilvl="8" w:tplc="04090005" w:tentative="1">
      <w:start w:val="1"/>
      <w:numFmt w:val="lowerRoman"/>
      <w:lvlText w:val="%9."/>
      <w:lvlJc w:val="right"/>
      <w:pPr>
        <w:ind w:left="4200" w:hanging="420"/>
      </w:pPr>
    </w:lvl>
  </w:abstractNum>
  <w:abstractNum w:abstractNumId="26"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27" w15:restartNumberingAfterBreak="0">
    <w:nsid w:val="24FC7E9D"/>
    <w:multiLevelType w:val="hybridMultilevel"/>
    <w:tmpl w:val="0DC22D2A"/>
    <w:lvl w:ilvl="0" w:tplc="313E9FD0">
      <w:start w:val="8"/>
      <w:numFmt w:val="japaneseCounting"/>
      <w:lvlText w:val="%1、"/>
      <w:lvlJc w:val="left"/>
      <w:pPr>
        <w:ind w:left="720" w:hanging="720"/>
      </w:pPr>
      <w:rPr>
        <w:rFonts w:hint="default"/>
      </w:rPr>
    </w:lvl>
    <w:lvl w:ilvl="1" w:tplc="2326AA38">
      <w:start w:val="1"/>
      <w:numFmt w:val="chineseCountingThousand"/>
      <w:lvlText w:val="%2、"/>
      <w:lvlJc w:val="left"/>
      <w:pPr>
        <w:ind w:left="840" w:hanging="420"/>
      </w:pPr>
      <w:rPr>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6170969"/>
    <w:multiLevelType w:val="hybridMultilevel"/>
    <w:tmpl w:val="495A4F88"/>
    <w:lvl w:ilvl="0" w:tplc="10BA35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28D64555"/>
    <w:multiLevelType w:val="hybridMultilevel"/>
    <w:tmpl w:val="28FCA162"/>
    <w:lvl w:ilvl="0" w:tplc="04090013">
      <w:start w:val="1"/>
      <w:numFmt w:val="decimal"/>
      <w:lvlText w:val="%1、"/>
      <w:lvlJc w:val="left"/>
      <w:pPr>
        <w:tabs>
          <w:tab w:val="num" w:pos="840"/>
        </w:tabs>
        <w:ind w:left="48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2B2F7082"/>
    <w:multiLevelType w:val="hybridMultilevel"/>
    <w:tmpl w:val="0CFC9488"/>
    <w:lvl w:ilvl="0" w:tplc="B9E2B97C">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2BC563A3"/>
    <w:multiLevelType w:val="hybridMultilevel"/>
    <w:tmpl w:val="61CAF6A6"/>
    <w:lvl w:ilvl="0" w:tplc="9B50BBD0">
      <w:start w:val="1"/>
      <w:numFmt w:val="decimal"/>
      <w:lvlText w:val="（%1）"/>
      <w:lvlJc w:val="left"/>
      <w:pPr>
        <w:tabs>
          <w:tab w:val="num" w:pos="1260"/>
        </w:tabs>
        <w:ind w:left="1260" w:hanging="420"/>
      </w:pPr>
      <w:rPr>
        <w:rFonts w:hint="default"/>
      </w:rPr>
    </w:lvl>
    <w:lvl w:ilvl="1" w:tplc="04090019">
      <w:start w:val="1"/>
      <w:numFmt w:val="japaneseCounting"/>
      <w:lvlText w:val="（%2）"/>
      <w:lvlJc w:val="left"/>
      <w:pPr>
        <w:tabs>
          <w:tab w:val="num" w:pos="1980"/>
        </w:tabs>
        <w:ind w:left="1980" w:hanging="720"/>
      </w:pPr>
      <w:rPr>
        <w:rFonts w:hint="default"/>
      </w:r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2" w15:restartNumberingAfterBreak="0">
    <w:nsid w:val="2BF46299"/>
    <w:multiLevelType w:val="hybridMultilevel"/>
    <w:tmpl w:val="877AB23C"/>
    <w:lvl w:ilvl="0" w:tplc="DFC4EF48">
      <w:start w:val="1"/>
      <w:numFmt w:val="chineseCountingThousand"/>
      <w:lvlText w:val="%1、"/>
      <w:lvlJc w:val="left"/>
      <w:pPr>
        <w:ind w:left="84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AB16C0"/>
    <w:multiLevelType w:val="hybridMultilevel"/>
    <w:tmpl w:val="16B46674"/>
    <w:lvl w:ilvl="0" w:tplc="B9E2B97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374F051D"/>
    <w:multiLevelType w:val="hybridMultilevel"/>
    <w:tmpl w:val="855CB72E"/>
    <w:lvl w:ilvl="0" w:tplc="04090013">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15:restartNumberingAfterBreak="0">
    <w:nsid w:val="37E46BB2"/>
    <w:multiLevelType w:val="hybridMultilevel"/>
    <w:tmpl w:val="A3F4567C"/>
    <w:lvl w:ilvl="0" w:tplc="10BA351C">
      <w:start w:val="1"/>
      <w:numFmt w:val="decimal"/>
      <w:lvlText w:val="%1、"/>
      <w:lvlJc w:val="left"/>
      <w:pPr>
        <w:tabs>
          <w:tab w:val="num" w:pos="780"/>
        </w:tabs>
        <w:ind w:left="0" w:firstLine="4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396752D9"/>
    <w:multiLevelType w:val="hybridMultilevel"/>
    <w:tmpl w:val="61022932"/>
    <w:lvl w:ilvl="0" w:tplc="11543A86">
      <w:start w:val="1"/>
      <w:numFmt w:val="lowerLetter"/>
      <w:lvlText w:val="%1."/>
      <w:lvlJc w:val="left"/>
      <w:pPr>
        <w:ind w:left="1770" w:hanging="570"/>
      </w:pPr>
      <w:rPr>
        <w:rFonts w:hint="default"/>
      </w:rPr>
    </w:lvl>
    <w:lvl w:ilvl="1" w:tplc="04090019">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37" w15:restartNumberingAfterBreak="0">
    <w:nsid w:val="39966672"/>
    <w:multiLevelType w:val="hybridMultilevel"/>
    <w:tmpl w:val="DB68AD9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3A70091D"/>
    <w:multiLevelType w:val="hybridMultilevel"/>
    <w:tmpl w:val="86EC9CE0"/>
    <w:lvl w:ilvl="0" w:tplc="3FDE96AA">
      <w:start w:val="1"/>
      <w:numFmt w:val="decimal"/>
      <w:lvlText w:val="（%1）"/>
      <w:lvlJc w:val="left"/>
      <w:pPr>
        <w:ind w:left="1110" w:hanging="420"/>
      </w:pPr>
      <w:rPr>
        <w:rFonts w:hint="eastAsia"/>
      </w:rPr>
    </w:lvl>
    <w:lvl w:ilvl="1" w:tplc="04090019">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abstractNum w:abstractNumId="39" w15:restartNumberingAfterBreak="0">
    <w:nsid w:val="3C1C4794"/>
    <w:multiLevelType w:val="hybridMultilevel"/>
    <w:tmpl w:val="9766C0BC"/>
    <w:lvl w:ilvl="0" w:tplc="B9E2B97C">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3CDB67AD"/>
    <w:multiLevelType w:val="hybridMultilevel"/>
    <w:tmpl w:val="247E6A00"/>
    <w:lvl w:ilvl="0" w:tplc="10BA35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3D535FF1"/>
    <w:multiLevelType w:val="hybridMultilevel"/>
    <w:tmpl w:val="D19E2AFE"/>
    <w:lvl w:ilvl="0" w:tplc="B9E2B97C">
      <w:start w:val="1"/>
      <w:numFmt w:val="upperLetter"/>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02A4023"/>
    <w:multiLevelType w:val="hybridMultilevel"/>
    <w:tmpl w:val="5546B436"/>
    <w:lvl w:ilvl="0" w:tplc="200819E8">
      <w:start w:val="1"/>
      <w:numFmt w:val="chineseCountingThousand"/>
      <w:lvlText w:val="%1、"/>
      <w:lvlJc w:val="left"/>
      <w:pPr>
        <w:ind w:left="840" w:hanging="4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108037F"/>
    <w:multiLevelType w:val="hybridMultilevel"/>
    <w:tmpl w:val="147EA052"/>
    <w:lvl w:ilvl="0" w:tplc="E5987DAC">
      <w:start w:val="1"/>
      <w:numFmt w:val="japaneseCounting"/>
      <w:lvlText w:val="第%1节"/>
      <w:lvlJc w:val="left"/>
      <w:pPr>
        <w:tabs>
          <w:tab w:val="num" w:pos="1170"/>
        </w:tabs>
        <w:ind w:left="1170" w:hanging="1170"/>
      </w:pPr>
      <w:rPr>
        <w:rFonts w:hint="default"/>
      </w:rPr>
    </w:lvl>
    <w:lvl w:ilvl="1" w:tplc="04090019">
      <w:start w:val="1"/>
      <w:numFmt w:val="japaneseCounting"/>
      <w:lvlText w:val="%2、"/>
      <w:lvlJc w:val="left"/>
      <w:pPr>
        <w:tabs>
          <w:tab w:val="num" w:pos="1035"/>
        </w:tabs>
        <w:ind w:left="1035" w:hanging="720"/>
      </w:pPr>
      <w:rPr>
        <w:rFonts w:hint="default"/>
      </w:r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44" w15:restartNumberingAfterBreak="0">
    <w:nsid w:val="424E795F"/>
    <w:multiLevelType w:val="hybridMultilevel"/>
    <w:tmpl w:val="070818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29F092F"/>
    <w:multiLevelType w:val="hybridMultilevel"/>
    <w:tmpl w:val="FB3EFFF6"/>
    <w:lvl w:ilvl="0" w:tplc="E2A212F2">
      <w:start w:val="1"/>
      <w:numFmt w:val="chineseCountingThousand"/>
      <w:lvlText w:val="%1、"/>
      <w:lvlJc w:val="left"/>
      <w:pPr>
        <w:ind w:left="840" w:hanging="420"/>
      </w:pPr>
    </w:lvl>
    <w:lvl w:ilvl="1" w:tplc="D06C5DD6"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4311251F"/>
    <w:multiLevelType w:val="hybridMultilevel"/>
    <w:tmpl w:val="05C001E8"/>
    <w:lvl w:ilvl="0" w:tplc="04090013">
      <w:start w:val="1"/>
      <w:numFmt w:val="chineseCountingThousand"/>
      <w:lvlText w:val="%1、"/>
      <w:lvlJc w:val="left"/>
      <w:pPr>
        <w:ind w:left="420" w:hanging="420"/>
      </w:pPr>
      <w:rPr>
        <w:rFonts w:hint="eastAsia"/>
      </w:rPr>
    </w:lvl>
    <w:lvl w:ilvl="1" w:tplc="04090019">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3433492"/>
    <w:multiLevelType w:val="hybridMultilevel"/>
    <w:tmpl w:val="FFAAC962"/>
    <w:lvl w:ilvl="0" w:tplc="56AC689C">
      <w:start w:val="1"/>
      <w:numFmt w:val="decimal"/>
      <w:lvlText w:val="%1、"/>
      <w:lvlJc w:val="left"/>
      <w:pPr>
        <w:tabs>
          <w:tab w:val="num" w:pos="786"/>
        </w:tabs>
        <w:ind w:left="786" w:hanging="360"/>
      </w:pPr>
      <w:rPr>
        <w:rFonts w:hint="default"/>
      </w:rPr>
    </w:lvl>
    <w:lvl w:ilvl="1" w:tplc="04090013"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48" w15:restartNumberingAfterBreak="0">
    <w:nsid w:val="43640A7C"/>
    <w:multiLevelType w:val="hybridMultilevel"/>
    <w:tmpl w:val="6994DD28"/>
    <w:lvl w:ilvl="0" w:tplc="04090013">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9" w15:restartNumberingAfterBreak="0">
    <w:nsid w:val="438D4BA0"/>
    <w:multiLevelType w:val="hybridMultilevel"/>
    <w:tmpl w:val="FF46BC1A"/>
    <w:lvl w:ilvl="0" w:tplc="10BA351C">
      <w:start w:val="1"/>
      <w:numFmt w:val="decimal"/>
      <w:lvlText w:val="%1、"/>
      <w:lvlJc w:val="left"/>
      <w:pPr>
        <w:tabs>
          <w:tab w:val="num" w:pos="780"/>
        </w:tabs>
        <w:ind w:left="420" w:firstLine="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45285F52"/>
    <w:multiLevelType w:val="hybridMultilevel"/>
    <w:tmpl w:val="95B01582"/>
    <w:lvl w:ilvl="0" w:tplc="04090013">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1" w15:restartNumberingAfterBreak="0">
    <w:nsid w:val="45DE0F87"/>
    <w:multiLevelType w:val="hybridMultilevel"/>
    <w:tmpl w:val="FB3EFFF6"/>
    <w:lvl w:ilvl="0" w:tplc="10BA351C">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465F68BE"/>
    <w:multiLevelType w:val="hybridMultilevel"/>
    <w:tmpl w:val="3D22A236"/>
    <w:lvl w:ilvl="0" w:tplc="04090013">
      <w:start w:val="1"/>
      <w:numFmt w:val="japaneseCounting"/>
      <w:lvlText w:val="（%1）"/>
      <w:lvlJc w:val="left"/>
      <w:pPr>
        <w:tabs>
          <w:tab w:val="num" w:pos="1980"/>
        </w:tabs>
        <w:ind w:left="198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631172"/>
    <w:multiLevelType w:val="hybridMultilevel"/>
    <w:tmpl w:val="0B482238"/>
    <w:lvl w:ilvl="0" w:tplc="E39EB42C">
      <w:start w:val="1"/>
      <w:numFmt w:val="decimal"/>
      <w:lvlText w:val="（%1）"/>
      <w:lvlJc w:val="left"/>
      <w:pPr>
        <w:tabs>
          <w:tab w:val="num" w:pos="851"/>
        </w:tabs>
        <w:ind w:left="851"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15:restartNumberingAfterBreak="0">
    <w:nsid w:val="50B62A24"/>
    <w:multiLevelType w:val="hybridMultilevel"/>
    <w:tmpl w:val="D9262184"/>
    <w:lvl w:ilvl="0" w:tplc="04090013">
      <w:start w:val="1"/>
      <w:numFmt w:val="chineseCountingThousand"/>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5" w15:restartNumberingAfterBreak="0">
    <w:nsid w:val="51B67212"/>
    <w:multiLevelType w:val="hybridMultilevel"/>
    <w:tmpl w:val="BBA8A9EE"/>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15:restartNumberingAfterBreak="0">
    <w:nsid w:val="537A45E0"/>
    <w:multiLevelType w:val="hybridMultilevel"/>
    <w:tmpl w:val="AD5C4328"/>
    <w:lvl w:ilvl="0" w:tplc="04090013">
      <w:start w:val="1"/>
      <w:numFmt w:val="chineseCountingThousand"/>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7" w15:restartNumberingAfterBreak="0">
    <w:nsid w:val="548959F9"/>
    <w:multiLevelType w:val="hybridMultilevel"/>
    <w:tmpl w:val="24505958"/>
    <w:lvl w:ilvl="0" w:tplc="CB9CB670">
      <w:start w:val="1"/>
      <w:numFmt w:val="japaneseCounting"/>
      <w:lvlText w:val="%1、"/>
      <w:lvlJc w:val="left"/>
      <w:pPr>
        <w:tabs>
          <w:tab w:val="num" w:pos="420"/>
        </w:tabs>
        <w:ind w:left="420" w:hanging="420"/>
      </w:pPr>
      <w:rPr>
        <w:rFonts w:hint="default"/>
        <w:lang w:val="en-US"/>
      </w:rPr>
    </w:lvl>
    <w:lvl w:ilvl="1" w:tplc="04090017">
      <w:start w:val="1"/>
      <w:numFmt w:val="chineseCountingThousand"/>
      <w:lvlText w:val="(%2)"/>
      <w:lvlJc w:val="left"/>
      <w:pPr>
        <w:tabs>
          <w:tab w:val="num" w:pos="840"/>
        </w:tabs>
        <w:ind w:left="840" w:hanging="420"/>
      </w:pPr>
      <w:rPr>
        <w:rFonts w:hint="default"/>
      </w:rPr>
    </w:lvl>
    <w:lvl w:ilvl="2" w:tplc="AAFC0E0A">
      <w:start w:val="1"/>
      <w:numFmt w:val="decimal"/>
      <w:lvlText w:val="（%3）"/>
      <w:lvlJc w:val="left"/>
      <w:pPr>
        <w:tabs>
          <w:tab w:val="num" w:pos="1560"/>
        </w:tabs>
        <w:ind w:left="1560" w:hanging="720"/>
      </w:pPr>
      <w:rPr>
        <w:rFonts w:hint="default"/>
        <w:lang w:val="en-US"/>
      </w:rPr>
    </w:lvl>
    <w:lvl w:ilvl="3" w:tplc="04090011">
      <w:start w:val="1"/>
      <w:numFmt w:val="decimal"/>
      <w:lvlText w:val="%4)"/>
      <w:lvlJc w:val="left"/>
      <w:pPr>
        <w:tabs>
          <w:tab w:val="num" w:pos="1260"/>
        </w:tabs>
        <w:ind w:left="1260" w:hanging="420"/>
      </w:pPr>
      <w:rPr>
        <w:rFonts w:hint="default"/>
      </w:rPr>
    </w:lvl>
    <w:lvl w:ilvl="4" w:tplc="851AC3A4">
      <w:start w:val="1"/>
      <w:numFmt w:val="decimal"/>
      <w:lvlText w:val="（%5）"/>
      <w:lvlJc w:val="left"/>
      <w:pPr>
        <w:tabs>
          <w:tab w:val="num" w:pos="2400"/>
        </w:tabs>
        <w:ind w:left="2400" w:hanging="720"/>
      </w:pPr>
      <w:rPr>
        <w:rFonts w:hint="default"/>
        <w:lang w:val="en-US"/>
      </w:rPr>
    </w:lvl>
    <w:lvl w:ilvl="5" w:tplc="AD02A9C8">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5562621F"/>
    <w:multiLevelType w:val="hybridMultilevel"/>
    <w:tmpl w:val="AF26BC86"/>
    <w:lvl w:ilvl="0" w:tplc="CB9CB670">
      <w:start w:val="1"/>
      <w:numFmt w:val="decimal"/>
      <w:lvlText w:val="%1."/>
      <w:lvlJc w:val="left"/>
      <w:pPr>
        <w:tabs>
          <w:tab w:val="num" w:pos="780"/>
        </w:tabs>
        <w:ind w:left="420" w:firstLine="0"/>
      </w:pPr>
      <w:rPr>
        <w:rFonts w:hint="eastAsia"/>
      </w:rPr>
    </w:lvl>
    <w:lvl w:ilvl="1" w:tplc="03DC63AA">
      <w:start w:val="1"/>
      <w:numFmt w:val="decimal"/>
      <w:lvlText w:val="（%2）"/>
      <w:lvlJc w:val="left"/>
      <w:pPr>
        <w:tabs>
          <w:tab w:val="num" w:pos="1134"/>
        </w:tabs>
        <w:ind w:left="1134" w:hanging="714"/>
      </w:pPr>
      <w:rPr>
        <w:rFonts w:hint="eastAsia"/>
        <w:lang w:val="en-US"/>
      </w:rPr>
    </w:lvl>
    <w:lvl w:ilvl="2" w:tplc="AAFC0E0A">
      <w:start w:val="1"/>
      <w:numFmt w:val="decimal"/>
      <w:lvlText w:val="%3"/>
      <w:lvlJc w:val="left"/>
      <w:pPr>
        <w:tabs>
          <w:tab w:val="num" w:pos="780"/>
        </w:tabs>
        <w:ind w:left="420" w:firstLine="0"/>
      </w:pPr>
      <w:rPr>
        <w:rFonts w:hint="eastAsia"/>
      </w:rPr>
    </w:lvl>
    <w:lvl w:ilvl="3" w:tplc="04090011" w:tentative="1">
      <w:start w:val="1"/>
      <w:numFmt w:val="decimal"/>
      <w:lvlText w:val="%4."/>
      <w:lvlJc w:val="left"/>
      <w:pPr>
        <w:tabs>
          <w:tab w:val="num" w:pos="1680"/>
        </w:tabs>
        <w:ind w:left="1680" w:hanging="420"/>
      </w:pPr>
    </w:lvl>
    <w:lvl w:ilvl="4" w:tplc="851AC3A4" w:tentative="1">
      <w:start w:val="1"/>
      <w:numFmt w:val="lowerLetter"/>
      <w:lvlText w:val="%5)"/>
      <w:lvlJc w:val="left"/>
      <w:pPr>
        <w:tabs>
          <w:tab w:val="num" w:pos="2100"/>
        </w:tabs>
        <w:ind w:left="2100" w:hanging="420"/>
      </w:pPr>
    </w:lvl>
    <w:lvl w:ilvl="5" w:tplc="AD02A9C8"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57F10D7B"/>
    <w:multiLevelType w:val="hybridMultilevel"/>
    <w:tmpl w:val="3BFEF406"/>
    <w:lvl w:ilvl="0" w:tplc="1958B2C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0" w15:restartNumberingAfterBreak="0">
    <w:nsid w:val="5D82141E"/>
    <w:multiLevelType w:val="hybridMultilevel"/>
    <w:tmpl w:val="FB3EFFF6"/>
    <w:lvl w:ilvl="0" w:tplc="B9E2B97C">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1" w15:restartNumberingAfterBreak="0">
    <w:nsid w:val="62257C50"/>
    <w:multiLevelType w:val="hybridMultilevel"/>
    <w:tmpl w:val="3A505C96"/>
    <w:lvl w:ilvl="0" w:tplc="158E34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15:restartNumberingAfterBreak="0">
    <w:nsid w:val="631858D5"/>
    <w:multiLevelType w:val="hybridMultilevel"/>
    <w:tmpl w:val="32229380"/>
    <w:lvl w:ilvl="0" w:tplc="AD1C7EEA">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63587142"/>
    <w:multiLevelType w:val="hybridMultilevel"/>
    <w:tmpl w:val="8F2065B8"/>
    <w:lvl w:ilvl="0" w:tplc="2326AA38">
      <w:start w:val="1"/>
      <w:numFmt w:val="chineseCountingThousand"/>
      <w:lvlText w:val="%1、"/>
      <w:lvlJc w:val="left"/>
      <w:pPr>
        <w:ind w:left="84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4E14F1F"/>
    <w:multiLevelType w:val="hybridMultilevel"/>
    <w:tmpl w:val="FB3EFFF6"/>
    <w:lvl w:ilvl="0" w:tplc="B9E2B97C">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5" w15:restartNumberingAfterBreak="0">
    <w:nsid w:val="658606FC"/>
    <w:multiLevelType w:val="hybridMultilevel"/>
    <w:tmpl w:val="FB3EFFF6"/>
    <w:lvl w:ilvl="0" w:tplc="04090013">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6"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67" w15:restartNumberingAfterBreak="0">
    <w:nsid w:val="67AD15E0"/>
    <w:multiLevelType w:val="multilevel"/>
    <w:tmpl w:val="FB3EFFF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6AA74B4C"/>
    <w:multiLevelType w:val="hybridMultilevel"/>
    <w:tmpl w:val="8462131E"/>
    <w:lvl w:ilvl="0" w:tplc="0776967C">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9" w15:restartNumberingAfterBreak="0">
    <w:nsid w:val="6F0C5F25"/>
    <w:multiLevelType w:val="hybridMultilevel"/>
    <w:tmpl w:val="CB029A4A"/>
    <w:lvl w:ilvl="0" w:tplc="04090019">
      <w:start w:val="1"/>
      <w:numFmt w:val="chineseCountingThousand"/>
      <w:lvlText w:val="%1、"/>
      <w:lvlJc w:val="left"/>
      <w:pPr>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0" w15:restartNumberingAfterBreak="0">
    <w:nsid w:val="7465198C"/>
    <w:multiLevelType w:val="hybridMultilevel"/>
    <w:tmpl w:val="B0AA079C"/>
    <w:lvl w:ilvl="0" w:tplc="8C0ACE66">
      <w:start w:val="1"/>
      <w:numFmt w:val="decimal"/>
      <w:lvlText w:val="（%1）"/>
      <w:lvlJc w:val="left"/>
      <w:pPr>
        <w:ind w:left="846" w:hanging="420"/>
      </w:pPr>
      <w:rPr>
        <w:rFonts w:hint="eastAsia"/>
      </w:rPr>
    </w:lvl>
    <w:lvl w:ilvl="1" w:tplc="DBAA93E2">
      <w:start w:val="1"/>
      <w:numFmt w:val="decimal"/>
      <w:lvlText w:val="%2、"/>
      <w:lvlJc w:val="left"/>
      <w:pPr>
        <w:ind w:left="1213" w:hanging="375"/>
      </w:pPr>
      <w:rPr>
        <w:rFonts w:hAnsi="Times New Roman" w:hint="default"/>
      </w:rPr>
    </w:lvl>
    <w:lvl w:ilvl="2" w:tplc="DA3CB9CA" w:tentative="1">
      <w:start w:val="1"/>
      <w:numFmt w:val="lowerRoman"/>
      <w:lvlText w:val="%3."/>
      <w:lvlJc w:val="right"/>
      <w:pPr>
        <w:ind w:left="1678" w:hanging="420"/>
      </w:pPr>
    </w:lvl>
    <w:lvl w:ilvl="3" w:tplc="0DF85E10" w:tentative="1">
      <w:start w:val="1"/>
      <w:numFmt w:val="decimal"/>
      <w:lvlText w:val="%4."/>
      <w:lvlJc w:val="left"/>
      <w:pPr>
        <w:ind w:left="2098" w:hanging="420"/>
      </w:pPr>
    </w:lvl>
    <w:lvl w:ilvl="4" w:tplc="FF90C9A4" w:tentative="1">
      <w:start w:val="1"/>
      <w:numFmt w:val="lowerLetter"/>
      <w:lvlText w:val="%5)"/>
      <w:lvlJc w:val="left"/>
      <w:pPr>
        <w:ind w:left="2518" w:hanging="420"/>
      </w:pPr>
    </w:lvl>
    <w:lvl w:ilvl="5" w:tplc="3E9C70CA" w:tentative="1">
      <w:start w:val="1"/>
      <w:numFmt w:val="lowerRoman"/>
      <w:lvlText w:val="%6."/>
      <w:lvlJc w:val="right"/>
      <w:pPr>
        <w:ind w:left="2938" w:hanging="420"/>
      </w:pPr>
    </w:lvl>
    <w:lvl w:ilvl="6" w:tplc="6F9ADE64" w:tentative="1">
      <w:start w:val="1"/>
      <w:numFmt w:val="decimal"/>
      <w:lvlText w:val="%7."/>
      <w:lvlJc w:val="left"/>
      <w:pPr>
        <w:ind w:left="3358" w:hanging="420"/>
      </w:pPr>
    </w:lvl>
    <w:lvl w:ilvl="7" w:tplc="46E07132" w:tentative="1">
      <w:start w:val="1"/>
      <w:numFmt w:val="lowerLetter"/>
      <w:lvlText w:val="%8)"/>
      <w:lvlJc w:val="left"/>
      <w:pPr>
        <w:ind w:left="3778" w:hanging="420"/>
      </w:pPr>
    </w:lvl>
    <w:lvl w:ilvl="8" w:tplc="0450AE8E" w:tentative="1">
      <w:start w:val="1"/>
      <w:numFmt w:val="lowerRoman"/>
      <w:lvlText w:val="%9."/>
      <w:lvlJc w:val="right"/>
      <w:pPr>
        <w:ind w:left="4198" w:hanging="420"/>
      </w:pPr>
    </w:lvl>
  </w:abstractNum>
  <w:abstractNum w:abstractNumId="71" w15:restartNumberingAfterBreak="0">
    <w:nsid w:val="75865766"/>
    <w:multiLevelType w:val="hybridMultilevel"/>
    <w:tmpl w:val="598E1A16"/>
    <w:lvl w:ilvl="0" w:tplc="B9E2B97C">
      <w:start w:val="1"/>
      <w:numFmt w:val="decimal"/>
      <w:lvlText w:val="%1、"/>
      <w:lvlJc w:val="left"/>
      <w:pPr>
        <w:tabs>
          <w:tab w:val="num" w:pos="1200"/>
        </w:tabs>
        <w:ind w:left="1200" w:hanging="360"/>
      </w:pPr>
      <w:rPr>
        <w:rFonts w:hint="default"/>
      </w:rPr>
    </w:lvl>
    <w:lvl w:ilvl="1" w:tplc="3258B822">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7B4748A"/>
    <w:multiLevelType w:val="hybridMultilevel"/>
    <w:tmpl w:val="1E7A741A"/>
    <w:lvl w:ilvl="0" w:tplc="3238FA0A">
      <w:start w:val="1"/>
      <w:numFmt w:val="decimal"/>
      <w:lvlText w:val="%1."/>
      <w:lvlJc w:val="left"/>
      <w:pPr>
        <w:tabs>
          <w:tab w:val="num" w:pos="780"/>
        </w:tabs>
        <w:ind w:left="420" w:firstLine="0"/>
      </w:pPr>
      <w:rPr>
        <w:rFonts w:hint="eastAsia"/>
      </w:rPr>
    </w:lvl>
    <w:lvl w:ilvl="1" w:tplc="04090019">
      <w:start w:val="1"/>
      <w:numFmt w:val="decimal"/>
      <w:lvlText w:val="（%2）"/>
      <w:lvlJc w:val="left"/>
      <w:pPr>
        <w:tabs>
          <w:tab w:val="num" w:pos="851"/>
        </w:tabs>
        <w:ind w:left="851" w:hanging="567"/>
      </w:pPr>
      <w:rPr>
        <w:rFonts w:hint="eastAsia"/>
      </w:rPr>
    </w:lvl>
    <w:lvl w:ilvl="2" w:tplc="0409001B">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3" w15:restartNumberingAfterBreak="0">
    <w:nsid w:val="783C7759"/>
    <w:multiLevelType w:val="hybridMultilevel"/>
    <w:tmpl w:val="B3B83D90"/>
    <w:lvl w:ilvl="0" w:tplc="99AA8908">
      <w:start w:val="1"/>
      <w:numFmt w:val="decimal"/>
      <w:lvlText w:val="（%1）"/>
      <w:lvlJc w:val="left"/>
      <w:pPr>
        <w:tabs>
          <w:tab w:val="num" w:pos="851"/>
        </w:tabs>
        <w:ind w:left="851" w:hanging="567"/>
      </w:pPr>
      <w:rPr>
        <w:rFonts w:hint="eastAsia"/>
      </w:rPr>
    </w:lvl>
    <w:lvl w:ilvl="1" w:tplc="271E205C">
      <w:start w:val="1"/>
      <w:numFmt w:val="lowerLetter"/>
      <w:lvlText w:val="%2)"/>
      <w:lvlJc w:val="left"/>
      <w:pPr>
        <w:tabs>
          <w:tab w:val="num" w:pos="840"/>
        </w:tabs>
        <w:ind w:left="840" w:hanging="420"/>
      </w:pPr>
    </w:lvl>
    <w:lvl w:ilvl="2" w:tplc="23888C08"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4" w15:restartNumberingAfterBreak="0">
    <w:nsid w:val="7A432072"/>
    <w:multiLevelType w:val="hybridMultilevel"/>
    <w:tmpl w:val="FB3EFFF6"/>
    <w:lvl w:ilvl="0" w:tplc="10BA351C">
      <w:start w:val="1"/>
      <w:numFmt w:val="chineseCountingThousand"/>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7F5C31ED"/>
    <w:multiLevelType w:val="hybridMultilevel"/>
    <w:tmpl w:val="D19E2AFE"/>
    <w:lvl w:ilvl="0" w:tplc="10BA351C">
      <w:start w:val="1"/>
      <w:numFmt w:val="upperLetter"/>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66"/>
  </w:num>
  <w:num w:numId="3">
    <w:abstractNumId w:val="35"/>
  </w:num>
  <w:num w:numId="4">
    <w:abstractNumId w:val="72"/>
  </w:num>
  <w:num w:numId="5">
    <w:abstractNumId w:val="49"/>
  </w:num>
  <w:num w:numId="6">
    <w:abstractNumId w:val="73"/>
  </w:num>
  <w:num w:numId="7">
    <w:abstractNumId w:val="53"/>
  </w:num>
  <w:num w:numId="8">
    <w:abstractNumId w:val="19"/>
  </w:num>
  <w:num w:numId="9">
    <w:abstractNumId w:val="29"/>
  </w:num>
  <w:num w:numId="10">
    <w:abstractNumId w:val="20"/>
  </w:num>
  <w:num w:numId="11">
    <w:abstractNumId w:val="10"/>
  </w:num>
  <w:num w:numId="12">
    <w:abstractNumId w:val="33"/>
  </w:num>
  <w:num w:numId="13">
    <w:abstractNumId w:val="47"/>
  </w:num>
  <w:num w:numId="14">
    <w:abstractNumId w:val="43"/>
  </w:num>
  <w:num w:numId="15">
    <w:abstractNumId w:val="58"/>
  </w:num>
  <w:num w:numId="16">
    <w:abstractNumId w:val="1"/>
  </w:num>
  <w:num w:numId="17">
    <w:abstractNumId w:val="31"/>
  </w:num>
  <w:num w:numId="18">
    <w:abstractNumId w:val="52"/>
  </w:num>
  <w:num w:numId="19">
    <w:abstractNumId w:val="9"/>
  </w:num>
  <w:num w:numId="20">
    <w:abstractNumId w:val="25"/>
  </w:num>
  <w:num w:numId="21">
    <w:abstractNumId w:val="15"/>
  </w:num>
  <w:num w:numId="22">
    <w:abstractNumId w:val="46"/>
  </w:num>
  <w:num w:numId="23">
    <w:abstractNumId w:val="17"/>
  </w:num>
  <w:num w:numId="24">
    <w:abstractNumId w:val="45"/>
  </w:num>
  <w:num w:numId="25">
    <w:abstractNumId w:val="7"/>
  </w:num>
  <w:num w:numId="26">
    <w:abstractNumId w:val="64"/>
  </w:num>
  <w:num w:numId="27">
    <w:abstractNumId w:val="60"/>
  </w:num>
  <w:num w:numId="28">
    <w:abstractNumId w:val="8"/>
  </w:num>
  <w:num w:numId="29">
    <w:abstractNumId w:val="51"/>
  </w:num>
  <w:num w:numId="30">
    <w:abstractNumId w:val="65"/>
  </w:num>
  <w:num w:numId="31">
    <w:abstractNumId w:val="16"/>
  </w:num>
  <w:num w:numId="32">
    <w:abstractNumId w:val="41"/>
  </w:num>
  <w:num w:numId="33">
    <w:abstractNumId w:val="36"/>
  </w:num>
  <w:num w:numId="34">
    <w:abstractNumId w:val="75"/>
  </w:num>
  <w:num w:numId="35">
    <w:abstractNumId w:val="70"/>
  </w:num>
  <w:num w:numId="36">
    <w:abstractNumId w:val="38"/>
  </w:num>
  <w:num w:numId="37">
    <w:abstractNumId w:val="71"/>
  </w:num>
  <w:num w:numId="38">
    <w:abstractNumId w:val="28"/>
  </w:num>
  <w:num w:numId="39">
    <w:abstractNumId w:val="4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
  </w:num>
  <w:num w:numId="43">
    <w:abstractNumId w:val="23"/>
  </w:num>
  <w:num w:numId="44">
    <w:abstractNumId w:val="69"/>
  </w:num>
  <w:num w:numId="45">
    <w:abstractNumId w:val="68"/>
  </w:num>
  <w:num w:numId="46">
    <w:abstractNumId w:val="6"/>
  </w:num>
  <w:num w:numId="47">
    <w:abstractNumId w:val="56"/>
  </w:num>
  <w:num w:numId="48">
    <w:abstractNumId w:val="57"/>
  </w:num>
  <w:num w:numId="49">
    <w:abstractNumId w:val="54"/>
  </w:num>
  <w:num w:numId="50">
    <w:abstractNumId w:val="37"/>
  </w:num>
  <w:num w:numId="51">
    <w:abstractNumId w:val="67"/>
  </w:num>
  <w:num w:numId="52">
    <w:abstractNumId w:val="62"/>
  </w:num>
  <w:num w:numId="53">
    <w:abstractNumId w:val="30"/>
  </w:num>
  <w:num w:numId="54">
    <w:abstractNumId w:val="39"/>
  </w:num>
  <w:num w:numId="55">
    <w:abstractNumId w:val="13"/>
  </w:num>
  <w:num w:numId="56">
    <w:abstractNumId w:val="24"/>
  </w:num>
  <w:num w:numId="57">
    <w:abstractNumId w:val="22"/>
  </w:num>
  <w:num w:numId="58">
    <w:abstractNumId w:val="61"/>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num>
  <w:num w:numId="63">
    <w:abstractNumId w:val="27"/>
  </w:num>
  <w:num w:numId="64">
    <w:abstractNumId w:val="44"/>
  </w:num>
  <w:num w:numId="65">
    <w:abstractNumId w:val="55"/>
  </w:num>
  <w:num w:numId="66">
    <w:abstractNumId w:val="0"/>
  </w:num>
  <w:num w:numId="67">
    <w:abstractNumId w:val="21"/>
  </w:num>
  <w:num w:numId="68">
    <w:abstractNumId w:val="34"/>
  </w:num>
  <w:num w:numId="69">
    <w:abstractNumId w:val="48"/>
  </w:num>
  <w:num w:numId="70">
    <w:abstractNumId w:val="3"/>
  </w:num>
  <w:num w:numId="71">
    <w:abstractNumId w:val="32"/>
  </w:num>
  <w:num w:numId="72">
    <w:abstractNumId w:val="14"/>
  </w:num>
  <w:num w:numId="73">
    <w:abstractNumId w:val="11"/>
  </w:num>
  <w:num w:numId="74">
    <w:abstractNumId w:val="63"/>
  </w:num>
  <w:num w:numId="75">
    <w:abstractNumId w:val="50"/>
  </w:num>
  <w:num w:numId="76">
    <w:abstractNumId w:val="74"/>
  </w:num>
  <w:num w:numId="77">
    <w:abstractNumId w:val="5"/>
  </w:num>
  <w:num w:numId="78">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44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1A8F"/>
    <w:rsid w:val="000018D9"/>
    <w:rsid w:val="000022DB"/>
    <w:rsid w:val="00002E9D"/>
    <w:rsid w:val="0000314D"/>
    <w:rsid w:val="000031CB"/>
    <w:rsid w:val="000042A0"/>
    <w:rsid w:val="000042D4"/>
    <w:rsid w:val="00004AD1"/>
    <w:rsid w:val="00004B4D"/>
    <w:rsid w:val="00004CB9"/>
    <w:rsid w:val="00005564"/>
    <w:rsid w:val="0000570E"/>
    <w:rsid w:val="000057FE"/>
    <w:rsid w:val="00005D91"/>
    <w:rsid w:val="00005F40"/>
    <w:rsid w:val="00006923"/>
    <w:rsid w:val="000069B8"/>
    <w:rsid w:val="00006C9E"/>
    <w:rsid w:val="00006E27"/>
    <w:rsid w:val="00007729"/>
    <w:rsid w:val="000077E2"/>
    <w:rsid w:val="00010825"/>
    <w:rsid w:val="00010C24"/>
    <w:rsid w:val="000110E8"/>
    <w:rsid w:val="00011165"/>
    <w:rsid w:val="000111FC"/>
    <w:rsid w:val="00011209"/>
    <w:rsid w:val="00011269"/>
    <w:rsid w:val="000114F8"/>
    <w:rsid w:val="00011C7E"/>
    <w:rsid w:val="0001250E"/>
    <w:rsid w:val="00013480"/>
    <w:rsid w:val="00013B14"/>
    <w:rsid w:val="0001413B"/>
    <w:rsid w:val="0001480A"/>
    <w:rsid w:val="00014DB5"/>
    <w:rsid w:val="00015AD5"/>
    <w:rsid w:val="000162E8"/>
    <w:rsid w:val="000166E1"/>
    <w:rsid w:val="000168DE"/>
    <w:rsid w:val="000216BE"/>
    <w:rsid w:val="00021837"/>
    <w:rsid w:val="00021A0D"/>
    <w:rsid w:val="000226B9"/>
    <w:rsid w:val="0002287F"/>
    <w:rsid w:val="00022CF2"/>
    <w:rsid w:val="00024383"/>
    <w:rsid w:val="000246E6"/>
    <w:rsid w:val="00024AED"/>
    <w:rsid w:val="00024FD7"/>
    <w:rsid w:val="000254DE"/>
    <w:rsid w:val="00025E6F"/>
    <w:rsid w:val="0002730A"/>
    <w:rsid w:val="000278CD"/>
    <w:rsid w:val="00027D2E"/>
    <w:rsid w:val="00030360"/>
    <w:rsid w:val="00031D02"/>
    <w:rsid w:val="0003295B"/>
    <w:rsid w:val="00033201"/>
    <w:rsid w:val="000332DF"/>
    <w:rsid w:val="0003334F"/>
    <w:rsid w:val="00033F68"/>
    <w:rsid w:val="000347BF"/>
    <w:rsid w:val="000358E6"/>
    <w:rsid w:val="00035C24"/>
    <w:rsid w:val="000368C5"/>
    <w:rsid w:val="00036ACE"/>
    <w:rsid w:val="000371B7"/>
    <w:rsid w:val="000371C0"/>
    <w:rsid w:val="000406ED"/>
    <w:rsid w:val="0004070B"/>
    <w:rsid w:val="00040AEE"/>
    <w:rsid w:val="00041BDC"/>
    <w:rsid w:val="00042432"/>
    <w:rsid w:val="00042FDC"/>
    <w:rsid w:val="00043F9A"/>
    <w:rsid w:val="00043FDC"/>
    <w:rsid w:val="00044F24"/>
    <w:rsid w:val="0004548E"/>
    <w:rsid w:val="00045CBE"/>
    <w:rsid w:val="00046355"/>
    <w:rsid w:val="0004659A"/>
    <w:rsid w:val="00046676"/>
    <w:rsid w:val="000476E5"/>
    <w:rsid w:val="000502B2"/>
    <w:rsid w:val="00050AD8"/>
    <w:rsid w:val="00050D35"/>
    <w:rsid w:val="00050E60"/>
    <w:rsid w:val="000513E2"/>
    <w:rsid w:val="000515A5"/>
    <w:rsid w:val="00051F72"/>
    <w:rsid w:val="0005202E"/>
    <w:rsid w:val="00052779"/>
    <w:rsid w:val="000528B9"/>
    <w:rsid w:val="00054FB7"/>
    <w:rsid w:val="00055010"/>
    <w:rsid w:val="000558A7"/>
    <w:rsid w:val="000559CC"/>
    <w:rsid w:val="00055A4E"/>
    <w:rsid w:val="000565F7"/>
    <w:rsid w:val="00056C21"/>
    <w:rsid w:val="00056E49"/>
    <w:rsid w:val="000573E1"/>
    <w:rsid w:val="000615E1"/>
    <w:rsid w:val="0006193F"/>
    <w:rsid w:val="000635A0"/>
    <w:rsid w:val="000647D0"/>
    <w:rsid w:val="00064CFE"/>
    <w:rsid w:val="00064FA1"/>
    <w:rsid w:val="00066403"/>
    <w:rsid w:val="00066EB3"/>
    <w:rsid w:val="000705AA"/>
    <w:rsid w:val="00070699"/>
    <w:rsid w:val="00070B55"/>
    <w:rsid w:val="00070E5B"/>
    <w:rsid w:val="00070E82"/>
    <w:rsid w:val="00070F6A"/>
    <w:rsid w:val="000714B2"/>
    <w:rsid w:val="0007153F"/>
    <w:rsid w:val="00072016"/>
    <w:rsid w:val="00072447"/>
    <w:rsid w:val="000735A5"/>
    <w:rsid w:val="00073C69"/>
    <w:rsid w:val="0007456D"/>
    <w:rsid w:val="000746EA"/>
    <w:rsid w:val="000769FC"/>
    <w:rsid w:val="00076BBF"/>
    <w:rsid w:val="000775FD"/>
    <w:rsid w:val="00077823"/>
    <w:rsid w:val="000808EF"/>
    <w:rsid w:val="00080909"/>
    <w:rsid w:val="00081657"/>
    <w:rsid w:val="0008171F"/>
    <w:rsid w:val="0008234B"/>
    <w:rsid w:val="00082479"/>
    <w:rsid w:val="00082AC6"/>
    <w:rsid w:val="00082C42"/>
    <w:rsid w:val="00082EE7"/>
    <w:rsid w:val="0008306D"/>
    <w:rsid w:val="0008330E"/>
    <w:rsid w:val="000844DD"/>
    <w:rsid w:val="000845F8"/>
    <w:rsid w:val="00085C13"/>
    <w:rsid w:val="000878D7"/>
    <w:rsid w:val="00087E99"/>
    <w:rsid w:val="000903F3"/>
    <w:rsid w:val="0009086E"/>
    <w:rsid w:val="00090891"/>
    <w:rsid w:val="000909D0"/>
    <w:rsid w:val="00090DC6"/>
    <w:rsid w:val="00091099"/>
    <w:rsid w:val="000910A1"/>
    <w:rsid w:val="00092333"/>
    <w:rsid w:val="000949D6"/>
    <w:rsid w:val="00094D94"/>
    <w:rsid w:val="00095FD6"/>
    <w:rsid w:val="00096940"/>
    <w:rsid w:val="00096B0C"/>
    <w:rsid w:val="00097A82"/>
    <w:rsid w:val="00097C70"/>
    <w:rsid w:val="000A0DA0"/>
    <w:rsid w:val="000A0EC0"/>
    <w:rsid w:val="000A10F2"/>
    <w:rsid w:val="000A1BFC"/>
    <w:rsid w:val="000A2230"/>
    <w:rsid w:val="000A2357"/>
    <w:rsid w:val="000A2677"/>
    <w:rsid w:val="000A3091"/>
    <w:rsid w:val="000A30AE"/>
    <w:rsid w:val="000A3B29"/>
    <w:rsid w:val="000A3EEA"/>
    <w:rsid w:val="000A44E0"/>
    <w:rsid w:val="000A4885"/>
    <w:rsid w:val="000A4CC7"/>
    <w:rsid w:val="000A54D7"/>
    <w:rsid w:val="000A55A3"/>
    <w:rsid w:val="000A5865"/>
    <w:rsid w:val="000A5C0E"/>
    <w:rsid w:val="000A5D18"/>
    <w:rsid w:val="000A7D0D"/>
    <w:rsid w:val="000B0298"/>
    <w:rsid w:val="000B06D9"/>
    <w:rsid w:val="000B10FF"/>
    <w:rsid w:val="000B134F"/>
    <w:rsid w:val="000B1482"/>
    <w:rsid w:val="000B282D"/>
    <w:rsid w:val="000B2E24"/>
    <w:rsid w:val="000B3B9A"/>
    <w:rsid w:val="000B4BFD"/>
    <w:rsid w:val="000B5156"/>
    <w:rsid w:val="000B5513"/>
    <w:rsid w:val="000B5644"/>
    <w:rsid w:val="000B7B42"/>
    <w:rsid w:val="000B7D01"/>
    <w:rsid w:val="000B7E67"/>
    <w:rsid w:val="000C12FC"/>
    <w:rsid w:val="000C1A10"/>
    <w:rsid w:val="000C21AD"/>
    <w:rsid w:val="000C2E9B"/>
    <w:rsid w:val="000C3215"/>
    <w:rsid w:val="000C38BF"/>
    <w:rsid w:val="000C3A8A"/>
    <w:rsid w:val="000C4718"/>
    <w:rsid w:val="000C5A9D"/>
    <w:rsid w:val="000C5D57"/>
    <w:rsid w:val="000C6434"/>
    <w:rsid w:val="000C6962"/>
    <w:rsid w:val="000C71E2"/>
    <w:rsid w:val="000C7AFA"/>
    <w:rsid w:val="000D0FD5"/>
    <w:rsid w:val="000D10F3"/>
    <w:rsid w:val="000D2FAC"/>
    <w:rsid w:val="000D3836"/>
    <w:rsid w:val="000D3B1A"/>
    <w:rsid w:val="000D3F61"/>
    <w:rsid w:val="000D4C97"/>
    <w:rsid w:val="000D50BD"/>
    <w:rsid w:val="000D5124"/>
    <w:rsid w:val="000D52D4"/>
    <w:rsid w:val="000D530B"/>
    <w:rsid w:val="000D6077"/>
    <w:rsid w:val="000D6088"/>
    <w:rsid w:val="000D686C"/>
    <w:rsid w:val="000D6E4A"/>
    <w:rsid w:val="000D7086"/>
    <w:rsid w:val="000D7B39"/>
    <w:rsid w:val="000E04D1"/>
    <w:rsid w:val="000E05D7"/>
    <w:rsid w:val="000E11E7"/>
    <w:rsid w:val="000E13AF"/>
    <w:rsid w:val="000E2AED"/>
    <w:rsid w:val="000E2B25"/>
    <w:rsid w:val="000E341E"/>
    <w:rsid w:val="000E4469"/>
    <w:rsid w:val="000E46E9"/>
    <w:rsid w:val="000E513B"/>
    <w:rsid w:val="000E5613"/>
    <w:rsid w:val="000E5F43"/>
    <w:rsid w:val="000E626D"/>
    <w:rsid w:val="000E631B"/>
    <w:rsid w:val="000E7917"/>
    <w:rsid w:val="000F085C"/>
    <w:rsid w:val="000F0E7B"/>
    <w:rsid w:val="000F110E"/>
    <w:rsid w:val="000F1B1E"/>
    <w:rsid w:val="000F1E00"/>
    <w:rsid w:val="000F1F19"/>
    <w:rsid w:val="000F2746"/>
    <w:rsid w:val="000F2B7A"/>
    <w:rsid w:val="000F2C9A"/>
    <w:rsid w:val="000F2E90"/>
    <w:rsid w:val="000F3DD4"/>
    <w:rsid w:val="000F416D"/>
    <w:rsid w:val="000F4327"/>
    <w:rsid w:val="000F4BBC"/>
    <w:rsid w:val="000F4FAD"/>
    <w:rsid w:val="000F59CB"/>
    <w:rsid w:val="000F6441"/>
    <w:rsid w:val="000F6862"/>
    <w:rsid w:val="000F6CC5"/>
    <w:rsid w:val="000F6EB7"/>
    <w:rsid w:val="000F7CFF"/>
    <w:rsid w:val="00100FE1"/>
    <w:rsid w:val="001016DC"/>
    <w:rsid w:val="001037BB"/>
    <w:rsid w:val="00104A35"/>
    <w:rsid w:val="00104D12"/>
    <w:rsid w:val="00105FF4"/>
    <w:rsid w:val="001061EA"/>
    <w:rsid w:val="00106BAE"/>
    <w:rsid w:val="00106EDE"/>
    <w:rsid w:val="00106F35"/>
    <w:rsid w:val="001071E2"/>
    <w:rsid w:val="00110219"/>
    <w:rsid w:val="0011105D"/>
    <w:rsid w:val="001118CA"/>
    <w:rsid w:val="00111B14"/>
    <w:rsid w:val="0011281B"/>
    <w:rsid w:val="00112B2F"/>
    <w:rsid w:val="00113419"/>
    <w:rsid w:val="00113B3F"/>
    <w:rsid w:val="00114078"/>
    <w:rsid w:val="0011446F"/>
    <w:rsid w:val="0011496A"/>
    <w:rsid w:val="00114D89"/>
    <w:rsid w:val="0011551D"/>
    <w:rsid w:val="00115F0E"/>
    <w:rsid w:val="00115F9A"/>
    <w:rsid w:val="00116627"/>
    <w:rsid w:val="00116C21"/>
    <w:rsid w:val="00117144"/>
    <w:rsid w:val="00117C51"/>
    <w:rsid w:val="00117E81"/>
    <w:rsid w:val="0012121C"/>
    <w:rsid w:val="00121793"/>
    <w:rsid w:val="00122277"/>
    <w:rsid w:val="00122DB2"/>
    <w:rsid w:val="00123C1B"/>
    <w:rsid w:val="001241CD"/>
    <w:rsid w:val="00124817"/>
    <w:rsid w:val="00124E4C"/>
    <w:rsid w:val="00124EF5"/>
    <w:rsid w:val="0012511D"/>
    <w:rsid w:val="0012518D"/>
    <w:rsid w:val="00126382"/>
    <w:rsid w:val="00126439"/>
    <w:rsid w:val="001267F8"/>
    <w:rsid w:val="00126D83"/>
    <w:rsid w:val="001271BB"/>
    <w:rsid w:val="00127248"/>
    <w:rsid w:val="00127401"/>
    <w:rsid w:val="001279D5"/>
    <w:rsid w:val="00127CBD"/>
    <w:rsid w:val="00127DBB"/>
    <w:rsid w:val="00127FB7"/>
    <w:rsid w:val="00127FD5"/>
    <w:rsid w:val="0013004C"/>
    <w:rsid w:val="00130C68"/>
    <w:rsid w:val="001312AC"/>
    <w:rsid w:val="0013142E"/>
    <w:rsid w:val="0013181E"/>
    <w:rsid w:val="00132358"/>
    <w:rsid w:val="0013254E"/>
    <w:rsid w:val="00132927"/>
    <w:rsid w:val="00132A95"/>
    <w:rsid w:val="00133DDB"/>
    <w:rsid w:val="00133F59"/>
    <w:rsid w:val="00134460"/>
    <w:rsid w:val="00135950"/>
    <w:rsid w:val="00136F0D"/>
    <w:rsid w:val="001378D9"/>
    <w:rsid w:val="00137CC0"/>
    <w:rsid w:val="001415F2"/>
    <w:rsid w:val="0014257E"/>
    <w:rsid w:val="00142911"/>
    <w:rsid w:val="00142D24"/>
    <w:rsid w:val="00142FD7"/>
    <w:rsid w:val="0014420B"/>
    <w:rsid w:val="001442FD"/>
    <w:rsid w:val="001444FC"/>
    <w:rsid w:val="00144B83"/>
    <w:rsid w:val="00144DC8"/>
    <w:rsid w:val="00144E8B"/>
    <w:rsid w:val="001466DF"/>
    <w:rsid w:val="00147692"/>
    <w:rsid w:val="00147E91"/>
    <w:rsid w:val="00151304"/>
    <w:rsid w:val="001520C7"/>
    <w:rsid w:val="00152D46"/>
    <w:rsid w:val="00152F17"/>
    <w:rsid w:val="00153A74"/>
    <w:rsid w:val="00153B6D"/>
    <w:rsid w:val="00154491"/>
    <w:rsid w:val="00154534"/>
    <w:rsid w:val="00154AC6"/>
    <w:rsid w:val="0015571D"/>
    <w:rsid w:val="00155B7E"/>
    <w:rsid w:val="00155BE8"/>
    <w:rsid w:val="00156920"/>
    <w:rsid w:val="0016090E"/>
    <w:rsid w:val="00160ACC"/>
    <w:rsid w:val="00161038"/>
    <w:rsid w:val="00162BE4"/>
    <w:rsid w:val="00162D98"/>
    <w:rsid w:val="00163338"/>
    <w:rsid w:val="00163549"/>
    <w:rsid w:val="00163767"/>
    <w:rsid w:val="00163AF9"/>
    <w:rsid w:val="0016507D"/>
    <w:rsid w:val="0016530B"/>
    <w:rsid w:val="0016546D"/>
    <w:rsid w:val="0016591C"/>
    <w:rsid w:val="00166112"/>
    <w:rsid w:val="00166AE6"/>
    <w:rsid w:val="0016717C"/>
    <w:rsid w:val="001674D5"/>
    <w:rsid w:val="0016759F"/>
    <w:rsid w:val="00167C2C"/>
    <w:rsid w:val="001705E1"/>
    <w:rsid w:val="001705E7"/>
    <w:rsid w:val="00170C41"/>
    <w:rsid w:val="00170FE8"/>
    <w:rsid w:val="00171003"/>
    <w:rsid w:val="00171768"/>
    <w:rsid w:val="001720F6"/>
    <w:rsid w:val="001724ED"/>
    <w:rsid w:val="00172767"/>
    <w:rsid w:val="00172AF3"/>
    <w:rsid w:val="00174628"/>
    <w:rsid w:val="00174BE6"/>
    <w:rsid w:val="00174E0D"/>
    <w:rsid w:val="00175BE6"/>
    <w:rsid w:val="0017674B"/>
    <w:rsid w:val="00177BBB"/>
    <w:rsid w:val="00177E9E"/>
    <w:rsid w:val="001800ED"/>
    <w:rsid w:val="00180137"/>
    <w:rsid w:val="00181463"/>
    <w:rsid w:val="00181CBB"/>
    <w:rsid w:val="001820B1"/>
    <w:rsid w:val="001822E4"/>
    <w:rsid w:val="001824E3"/>
    <w:rsid w:val="00182559"/>
    <w:rsid w:val="001827B6"/>
    <w:rsid w:val="00182AC7"/>
    <w:rsid w:val="00182D83"/>
    <w:rsid w:val="0018308E"/>
    <w:rsid w:val="00184DEB"/>
    <w:rsid w:val="001854D5"/>
    <w:rsid w:val="00186C13"/>
    <w:rsid w:val="00187844"/>
    <w:rsid w:val="00187DDE"/>
    <w:rsid w:val="0019018B"/>
    <w:rsid w:val="00190523"/>
    <w:rsid w:val="00190BD2"/>
    <w:rsid w:val="00190C17"/>
    <w:rsid w:val="001917EB"/>
    <w:rsid w:val="00191CF6"/>
    <w:rsid w:val="00192250"/>
    <w:rsid w:val="00192544"/>
    <w:rsid w:val="0019335C"/>
    <w:rsid w:val="00193AB4"/>
    <w:rsid w:val="00193B53"/>
    <w:rsid w:val="00194489"/>
    <w:rsid w:val="00195B03"/>
    <w:rsid w:val="0019608D"/>
    <w:rsid w:val="0019659B"/>
    <w:rsid w:val="0019704F"/>
    <w:rsid w:val="0019769B"/>
    <w:rsid w:val="00197A41"/>
    <w:rsid w:val="001A0E08"/>
    <w:rsid w:val="001A138E"/>
    <w:rsid w:val="001A1DB2"/>
    <w:rsid w:val="001A2171"/>
    <w:rsid w:val="001A2CD2"/>
    <w:rsid w:val="001A329A"/>
    <w:rsid w:val="001A40DB"/>
    <w:rsid w:val="001A4AEC"/>
    <w:rsid w:val="001A550C"/>
    <w:rsid w:val="001A57DD"/>
    <w:rsid w:val="001A5A7E"/>
    <w:rsid w:val="001A5E67"/>
    <w:rsid w:val="001A68F9"/>
    <w:rsid w:val="001A7341"/>
    <w:rsid w:val="001A774A"/>
    <w:rsid w:val="001A7F5E"/>
    <w:rsid w:val="001B0209"/>
    <w:rsid w:val="001B0C8B"/>
    <w:rsid w:val="001B0EA0"/>
    <w:rsid w:val="001B103A"/>
    <w:rsid w:val="001B1095"/>
    <w:rsid w:val="001B170C"/>
    <w:rsid w:val="001B22A4"/>
    <w:rsid w:val="001B2DD1"/>
    <w:rsid w:val="001B2E71"/>
    <w:rsid w:val="001B3D1F"/>
    <w:rsid w:val="001B3E78"/>
    <w:rsid w:val="001B43D9"/>
    <w:rsid w:val="001B566E"/>
    <w:rsid w:val="001B5880"/>
    <w:rsid w:val="001B5F4D"/>
    <w:rsid w:val="001B6447"/>
    <w:rsid w:val="001B6743"/>
    <w:rsid w:val="001B6E9A"/>
    <w:rsid w:val="001B7150"/>
    <w:rsid w:val="001B78D0"/>
    <w:rsid w:val="001B7E36"/>
    <w:rsid w:val="001C01FD"/>
    <w:rsid w:val="001C05DF"/>
    <w:rsid w:val="001C098E"/>
    <w:rsid w:val="001C1A1C"/>
    <w:rsid w:val="001C22B9"/>
    <w:rsid w:val="001C23B4"/>
    <w:rsid w:val="001C289A"/>
    <w:rsid w:val="001C5664"/>
    <w:rsid w:val="001C5C15"/>
    <w:rsid w:val="001C5DC8"/>
    <w:rsid w:val="001C5E4E"/>
    <w:rsid w:val="001C63A6"/>
    <w:rsid w:val="001C6DE0"/>
    <w:rsid w:val="001C757E"/>
    <w:rsid w:val="001C77D4"/>
    <w:rsid w:val="001D0401"/>
    <w:rsid w:val="001D04EC"/>
    <w:rsid w:val="001D09DC"/>
    <w:rsid w:val="001D0A25"/>
    <w:rsid w:val="001D14AF"/>
    <w:rsid w:val="001D1EEF"/>
    <w:rsid w:val="001D2BBE"/>
    <w:rsid w:val="001D3026"/>
    <w:rsid w:val="001D3377"/>
    <w:rsid w:val="001D356C"/>
    <w:rsid w:val="001D3A1F"/>
    <w:rsid w:val="001D423D"/>
    <w:rsid w:val="001D45D1"/>
    <w:rsid w:val="001D5148"/>
    <w:rsid w:val="001D6894"/>
    <w:rsid w:val="001D6BF6"/>
    <w:rsid w:val="001E175D"/>
    <w:rsid w:val="001E2770"/>
    <w:rsid w:val="001E28BD"/>
    <w:rsid w:val="001E2A01"/>
    <w:rsid w:val="001E2BEF"/>
    <w:rsid w:val="001E3268"/>
    <w:rsid w:val="001E3AE0"/>
    <w:rsid w:val="001E3B32"/>
    <w:rsid w:val="001E4431"/>
    <w:rsid w:val="001E4C7B"/>
    <w:rsid w:val="001E50B3"/>
    <w:rsid w:val="001E6180"/>
    <w:rsid w:val="001E743E"/>
    <w:rsid w:val="001E75CF"/>
    <w:rsid w:val="001E7B06"/>
    <w:rsid w:val="001E7CEC"/>
    <w:rsid w:val="001F08CC"/>
    <w:rsid w:val="001F0CA1"/>
    <w:rsid w:val="001F1387"/>
    <w:rsid w:val="001F1B2F"/>
    <w:rsid w:val="001F2974"/>
    <w:rsid w:val="001F2C20"/>
    <w:rsid w:val="001F2F83"/>
    <w:rsid w:val="001F34DD"/>
    <w:rsid w:val="001F4492"/>
    <w:rsid w:val="001F4757"/>
    <w:rsid w:val="001F5B88"/>
    <w:rsid w:val="001F5CD7"/>
    <w:rsid w:val="001F5E4F"/>
    <w:rsid w:val="001F660D"/>
    <w:rsid w:val="001F6A17"/>
    <w:rsid w:val="001F6C40"/>
    <w:rsid w:val="001F6D20"/>
    <w:rsid w:val="001F6DF2"/>
    <w:rsid w:val="001F734D"/>
    <w:rsid w:val="001F75E4"/>
    <w:rsid w:val="001F786A"/>
    <w:rsid w:val="002005DF"/>
    <w:rsid w:val="00200E9B"/>
    <w:rsid w:val="002012DB"/>
    <w:rsid w:val="002015BC"/>
    <w:rsid w:val="0020234D"/>
    <w:rsid w:val="00202690"/>
    <w:rsid w:val="00202B43"/>
    <w:rsid w:val="002032FC"/>
    <w:rsid w:val="00203F5D"/>
    <w:rsid w:val="002042EF"/>
    <w:rsid w:val="002048B9"/>
    <w:rsid w:val="00205009"/>
    <w:rsid w:val="00205CF4"/>
    <w:rsid w:val="0020626D"/>
    <w:rsid w:val="00206431"/>
    <w:rsid w:val="0020665E"/>
    <w:rsid w:val="0020700C"/>
    <w:rsid w:val="0020725D"/>
    <w:rsid w:val="00207465"/>
    <w:rsid w:val="00207681"/>
    <w:rsid w:val="0020799E"/>
    <w:rsid w:val="00211146"/>
    <w:rsid w:val="00211B2D"/>
    <w:rsid w:val="002123F7"/>
    <w:rsid w:val="002130BE"/>
    <w:rsid w:val="0021596D"/>
    <w:rsid w:val="00216639"/>
    <w:rsid w:val="00216A27"/>
    <w:rsid w:val="00217386"/>
    <w:rsid w:val="00217549"/>
    <w:rsid w:val="002176C2"/>
    <w:rsid w:val="0022046B"/>
    <w:rsid w:val="00220AAC"/>
    <w:rsid w:val="00220CA9"/>
    <w:rsid w:val="00221434"/>
    <w:rsid w:val="0022179F"/>
    <w:rsid w:val="00221C22"/>
    <w:rsid w:val="00221C2B"/>
    <w:rsid w:val="00222367"/>
    <w:rsid w:val="0022258C"/>
    <w:rsid w:val="00223120"/>
    <w:rsid w:val="00223123"/>
    <w:rsid w:val="00223227"/>
    <w:rsid w:val="002235A1"/>
    <w:rsid w:val="0022439F"/>
    <w:rsid w:val="00224E56"/>
    <w:rsid w:val="00225EE1"/>
    <w:rsid w:val="00225F78"/>
    <w:rsid w:val="00226CB1"/>
    <w:rsid w:val="00226F0F"/>
    <w:rsid w:val="00226F13"/>
    <w:rsid w:val="0022726D"/>
    <w:rsid w:val="00227DD1"/>
    <w:rsid w:val="00227E0A"/>
    <w:rsid w:val="0023109B"/>
    <w:rsid w:val="002311AA"/>
    <w:rsid w:val="002311B0"/>
    <w:rsid w:val="0023144C"/>
    <w:rsid w:val="0023170B"/>
    <w:rsid w:val="0023174F"/>
    <w:rsid w:val="002319F2"/>
    <w:rsid w:val="002319FB"/>
    <w:rsid w:val="002326A3"/>
    <w:rsid w:val="00232942"/>
    <w:rsid w:val="00232E48"/>
    <w:rsid w:val="00232FFE"/>
    <w:rsid w:val="00234BC7"/>
    <w:rsid w:val="00234C87"/>
    <w:rsid w:val="00234D27"/>
    <w:rsid w:val="002355BE"/>
    <w:rsid w:val="002362B6"/>
    <w:rsid w:val="00236B59"/>
    <w:rsid w:val="00236B6F"/>
    <w:rsid w:val="00236D10"/>
    <w:rsid w:val="0023705A"/>
    <w:rsid w:val="00237210"/>
    <w:rsid w:val="0023796D"/>
    <w:rsid w:val="00240928"/>
    <w:rsid w:val="00241D41"/>
    <w:rsid w:val="00242473"/>
    <w:rsid w:val="00242706"/>
    <w:rsid w:val="00242949"/>
    <w:rsid w:val="00242AAA"/>
    <w:rsid w:val="0024304C"/>
    <w:rsid w:val="00243789"/>
    <w:rsid w:val="00243960"/>
    <w:rsid w:val="00243ED2"/>
    <w:rsid w:val="002449CB"/>
    <w:rsid w:val="00244AE7"/>
    <w:rsid w:val="0024606B"/>
    <w:rsid w:val="002464D5"/>
    <w:rsid w:val="00246D29"/>
    <w:rsid w:val="00247224"/>
    <w:rsid w:val="00247796"/>
    <w:rsid w:val="00247BE0"/>
    <w:rsid w:val="00250438"/>
    <w:rsid w:val="00250825"/>
    <w:rsid w:val="00250B1E"/>
    <w:rsid w:val="00250C08"/>
    <w:rsid w:val="00250D27"/>
    <w:rsid w:val="002511C5"/>
    <w:rsid w:val="0025168D"/>
    <w:rsid w:val="0025221F"/>
    <w:rsid w:val="00252541"/>
    <w:rsid w:val="00252FED"/>
    <w:rsid w:val="0025311C"/>
    <w:rsid w:val="00253545"/>
    <w:rsid w:val="002539F8"/>
    <w:rsid w:val="00254386"/>
    <w:rsid w:val="002554EC"/>
    <w:rsid w:val="00256DA0"/>
    <w:rsid w:val="002574FA"/>
    <w:rsid w:val="002575C5"/>
    <w:rsid w:val="00260641"/>
    <w:rsid w:val="0026135B"/>
    <w:rsid w:val="002634CE"/>
    <w:rsid w:val="0026356F"/>
    <w:rsid w:val="00263EE8"/>
    <w:rsid w:val="00263FBC"/>
    <w:rsid w:val="0026465F"/>
    <w:rsid w:val="00264A6F"/>
    <w:rsid w:val="00265578"/>
    <w:rsid w:val="002656D0"/>
    <w:rsid w:val="00266269"/>
    <w:rsid w:val="00266936"/>
    <w:rsid w:val="00266E33"/>
    <w:rsid w:val="002670C8"/>
    <w:rsid w:val="002700B0"/>
    <w:rsid w:val="002705FB"/>
    <w:rsid w:val="002709D7"/>
    <w:rsid w:val="00271838"/>
    <w:rsid w:val="00271EF1"/>
    <w:rsid w:val="00271F2A"/>
    <w:rsid w:val="00273588"/>
    <w:rsid w:val="002743F7"/>
    <w:rsid w:val="0027469F"/>
    <w:rsid w:val="00274877"/>
    <w:rsid w:val="002754F9"/>
    <w:rsid w:val="00275546"/>
    <w:rsid w:val="0027561F"/>
    <w:rsid w:val="0027589F"/>
    <w:rsid w:val="00275A9F"/>
    <w:rsid w:val="00275B9B"/>
    <w:rsid w:val="00275FBD"/>
    <w:rsid w:val="002765A7"/>
    <w:rsid w:val="00276DC8"/>
    <w:rsid w:val="00276FC6"/>
    <w:rsid w:val="002779CB"/>
    <w:rsid w:val="00280583"/>
    <w:rsid w:val="00280CA3"/>
    <w:rsid w:val="00282042"/>
    <w:rsid w:val="00282447"/>
    <w:rsid w:val="002827C4"/>
    <w:rsid w:val="00282B1D"/>
    <w:rsid w:val="002830AE"/>
    <w:rsid w:val="00283E42"/>
    <w:rsid w:val="0028425F"/>
    <w:rsid w:val="002842BA"/>
    <w:rsid w:val="002851F2"/>
    <w:rsid w:val="00285ADB"/>
    <w:rsid w:val="00285E67"/>
    <w:rsid w:val="002866B1"/>
    <w:rsid w:val="00286AFC"/>
    <w:rsid w:val="00287823"/>
    <w:rsid w:val="00287BFD"/>
    <w:rsid w:val="00287F0D"/>
    <w:rsid w:val="002916E8"/>
    <w:rsid w:val="00292FFB"/>
    <w:rsid w:val="0029380B"/>
    <w:rsid w:val="0029412A"/>
    <w:rsid w:val="00294677"/>
    <w:rsid w:val="00294707"/>
    <w:rsid w:val="002947E8"/>
    <w:rsid w:val="002948E3"/>
    <w:rsid w:val="002950F5"/>
    <w:rsid w:val="00295403"/>
    <w:rsid w:val="00295430"/>
    <w:rsid w:val="00295DEF"/>
    <w:rsid w:val="00296B3E"/>
    <w:rsid w:val="002A0C36"/>
    <w:rsid w:val="002A11F9"/>
    <w:rsid w:val="002A19AB"/>
    <w:rsid w:val="002A21E6"/>
    <w:rsid w:val="002A2833"/>
    <w:rsid w:val="002A2CD0"/>
    <w:rsid w:val="002A386D"/>
    <w:rsid w:val="002A396A"/>
    <w:rsid w:val="002A41B1"/>
    <w:rsid w:val="002A43D5"/>
    <w:rsid w:val="002A504B"/>
    <w:rsid w:val="002A5159"/>
    <w:rsid w:val="002A587E"/>
    <w:rsid w:val="002A60E5"/>
    <w:rsid w:val="002A662F"/>
    <w:rsid w:val="002A6654"/>
    <w:rsid w:val="002A673B"/>
    <w:rsid w:val="002A6958"/>
    <w:rsid w:val="002A6E5C"/>
    <w:rsid w:val="002A76E3"/>
    <w:rsid w:val="002A7EB0"/>
    <w:rsid w:val="002B025A"/>
    <w:rsid w:val="002B0D1E"/>
    <w:rsid w:val="002B0E3C"/>
    <w:rsid w:val="002B166A"/>
    <w:rsid w:val="002B1940"/>
    <w:rsid w:val="002B22B7"/>
    <w:rsid w:val="002B231B"/>
    <w:rsid w:val="002B2B4C"/>
    <w:rsid w:val="002B348F"/>
    <w:rsid w:val="002B3BF5"/>
    <w:rsid w:val="002B48DD"/>
    <w:rsid w:val="002B49B5"/>
    <w:rsid w:val="002B5A31"/>
    <w:rsid w:val="002B7176"/>
    <w:rsid w:val="002B740C"/>
    <w:rsid w:val="002B743D"/>
    <w:rsid w:val="002C0133"/>
    <w:rsid w:val="002C03AC"/>
    <w:rsid w:val="002C0CA4"/>
    <w:rsid w:val="002C0D3D"/>
    <w:rsid w:val="002C0FBF"/>
    <w:rsid w:val="002C1A0C"/>
    <w:rsid w:val="002C301E"/>
    <w:rsid w:val="002C3A93"/>
    <w:rsid w:val="002C41D8"/>
    <w:rsid w:val="002C4332"/>
    <w:rsid w:val="002C4C70"/>
    <w:rsid w:val="002C526E"/>
    <w:rsid w:val="002C528A"/>
    <w:rsid w:val="002C5BC1"/>
    <w:rsid w:val="002C7528"/>
    <w:rsid w:val="002D03EF"/>
    <w:rsid w:val="002D0481"/>
    <w:rsid w:val="002D0939"/>
    <w:rsid w:val="002D0A71"/>
    <w:rsid w:val="002D15A3"/>
    <w:rsid w:val="002D15BC"/>
    <w:rsid w:val="002D2541"/>
    <w:rsid w:val="002D2A93"/>
    <w:rsid w:val="002D2AE6"/>
    <w:rsid w:val="002D46D1"/>
    <w:rsid w:val="002D47A9"/>
    <w:rsid w:val="002D5D85"/>
    <w:rsid w:val="002D61F6"/>
    <w:rsid w:val="002D643B"/>
    <w:rsid w:val="002D6D07"/>
    <w:rsid w:val="002D6D3D"/>
    <w:rsid w:val="002D6EA1"/>
    <w:rsid w:val="002D72C0"/>
    <w:rsid w:val="002D76D1"/>
    <w:rsid w:val="002D7739"/>
    <w:rsid w:val="002D7F5D"/>
    <w:rsid w:val="002E05F2"/>
    <w:rsid w:val="002E071C"/>
    <w:rsid w:val="002E0A28"/>
    <w:rsid w:val="002E0FAC"/>
    <w:rsid w:val="002E1342"/>
    <w:rsid w:val="002E137E"/>
    <w:rsid w:val="002E1423"/>
    <w:rsid w:val="002E1CEC"/>
    <w:rsid w:val="002E290F"/>
    <w:rsid w:val="002E367F"/>
    <w:rsid w:val="002E3A4C"/>
    <w:rsid w:val="002E3D71"/>
    <w:rsid w:val="002E4507"/>
    <w:rsid w:val="002E4CA6"/>
    <w:rsid w:val="002E61A7"/>
    <w:rsid w:val="002E6A07"/>
    <w:rsid w:val="002E6E6E"/>
    <w:rsid w:val="002E787C"/>
    <w:rsid w:val="002F00C3"/>
    <w:rsid w:val="002F0CD5"/>
    <w:rsid w:val="002F189A"/>
    <w:rsid w:val="002F33AD"/>
    <w:rsid w:val="002F386B"/>
    <w:rsid w:val="002F4819"/>
    <w:rsid w:val="002F6F4C"/>
    <w:rsid w:val="002F7669"/>
    <w:rsid w:val="00300213"/>
    <w:rsid w:val="00301103"/>
    <w:rsid w:val="0030168F"/>
    <w:rsid w:val="003016AB"/>
    <w:rsid w:val="00301B85"/>
    <w:rsid w:val="00302389"/>
    <w:rsid w:val="003027E2"/>
    <w:rsid w:val="00303371"/>
    <w:rsid w:val="00303398"/>
    <w:rsid w:val="0030350E"/>
    <w:rsid w:val="003035B6"/>
    <w:rsid w:val="00303634"/>
    <w:rsid w:val="003037CE"/>
    <w:rsid w:val="00304379"/>
    <w:rsid w:val="00304599"/>
    <w:rsid w:val="00304A15"/>
    <w:rsid w:val="00304E89"/>
    <w:rsid w:val="00305595"/>
    <w:rsid w:val="00305923"/>
    <w:rsid w:val="00305955"/>
    <w:rsid w:val="00305EEE"/>
    <w:rsid w:val="00307C73"/>
    <w:rsid w:val="00307EB1"/>
    <w:rsid w:val="00311D94"/>
    <w:rsid w:val="0031226A"/>
    <w:rsid w:val="00312595"/>
    <w:rsid w:val="003125C3"/>
    <w:rsid w:val="0031284E"/>
    <w:rsid w:val="00312B9B"/>
    <w:rsid w:val="00312C04"/>
    <w:rsid w:val="00313069"/>
    <w:rsid w:val="00313BE0"/>
    <w:rsid w:val="00313D9D"/>
    <w:rsid w:val="00314918"/>
    <w:rsid w:val="003155EB"/>
    <w:rsid w:val="00317A5A"/>
    <w:rsid w:val="00317EB7"/>
    <w:rsid w:val="003206AE"/>
    <w:rsid w:val="0032072F"/>
    <w:rsid w:val="00320819"/>
    <w:rsid w:val="0032086A"/>
    <w:rsid w:val="003215CE"/>
    <w:rsid w:val="00321C97"/>
    <w:rsid w:val="00322571"/>
    <w:rsid w:val="003228C3"/>
    <w:rsid w:val="003230A5"/>
    <w:rsid w:val="0032321E"/>
    <w:rsid w:val="003237C5"/>
    <w:rsid w:val="00323868"/>
    <w:rsid w:val="00323AE7"/>
    <w:rsid w:val="00324297"/>
    <w:rsid w:val="00325533"/>
    <w:rsid w:val="0032563F"/>
    <w:rsid w:val="00325B83"/>
    <w:rsid w:val="00325EF5"/>
    <w:rsid w:val="00326639"/>
    <w:rsid w:val="00326F43"/>
    <w:rsid w:val="0032766D"/>
    <w:rsid w:val="003305E4"/>
    <w:rsid w:val="00330A7F"/>
    <w:rsid w:val="00330AB9"/>
    <w:rsid w:val="00331144"/>
    <w:rsid w:val="00332836"/>
    <w:rsid w:val="003330DC"/>
    <w:rsid w:val="00333136"/>
    <w:rsid w:val="003336C8"/>
    <w:rsid w:val="00333706"/>
    <w:rsid w:val="00334217"/>
    <w:rsid w:val="00334255"/>
    <w:rsid w:val="00334C00"/>
    <w:rsid w:val="003353C4"/>
    <w:rsid w:val="00336493"/>
    <w:rsid w:val="003366B5"/>
    <w:rsid w:val="0033705B"/>
    <w:rsid w:val="00337866"/>
    <w:rsid w:val="003400DA"/>
    <w:rsid w:val="00340438"/>
    <w:rsid w:val="0034070D"/>
    <w:rsid w:val="00340826"/>
    <w:rsid w:val="00341234"/>
    <w:rsid w:val="00341919"/>
    <w:rsid w:val="0034243E"/>
    <w:rsid w:val="00342CB3"/>
    <w:rsid w:val="00343795"/>
    <w:rsid w:val="00344443"/>
    <w:rsid w:val="003444DF"/>
    <w:rsid w:val="00346825"/>
    <w:rsid w:val="00347BD1"/>
    <w:rsid w:val="00350936"/>
    <w:rsid w:val="0035158E"/>
    <w:rsid w:val="00352087"/>
    <w:rsid w:val="003524BC"/>
    <w:rsid w:val="0035284C"/>
    <w:rsid w:val="00352D25"/>
    <w:rsid w:val="00353E3D"/>
    <w:rsid w:val="0035497F"/>
    <w:rsid w:val="0035524D"/>
    <w:rsid w:val="00355775"/>
    <w:rsid w:val="003558EF"/>
    <w:rsid w:val="00356FE7"/>
    <w:rsid w:val="00360164"/>
    <w:rsid w:val="00360AE3"/>
    <w:rsid w:val="00360B76"/>
    <w:rsid w:val="00360BA0"/>
    <w:rsid w:val="0036157F"/>
    <w:rsid w:val="00361640"/>
    <w:rsid w:val="00361858"/>
    <w:rsid w:val="00361AD0"/>
    <w:rsid w:val="00361D0F"/>
    <w:rsid w:val="003620DD"/>
    <w:rsid w:val="0036225B"/>
    <w:rsid w:val="003626C3"/>
    <w:rsid w:val="00362A32"/>
    <w:rsid w:val="00362F97"/>
    <w:rsid w:val="00363300"/>
    <w:rsid w:val="00363389"/>
    <w:rsid w:val="00363931"/>
    <w:rsid w:val="00363967"/>
    <w:rsid w:val="003639D0"/>
    <w:rsid w:val="00363C43"/>
    <w:rsid w:val="00363FA4"/>
    <w:rsid w:val="003643DD"/>
    <w:rsid w:val="00365C56"/>
    <w:rsid w:val="00366CA4"/>
    <w:rsid w:val="00367067"/>
    <w:rsid w:val="00367FC8"/>
    <w:rsid w:val="00370F15"/>
    <w:rsid w:val="0037127F"/>
    <w:rsid w:val="00371EF3"/>
    <w:rsid w:val="00372351"/>
    <w:rsid w:val="0037402C"/>
    <w:rsid w:val="0037421D"/>
    <w:rsid w:val="0037466D"/>
    <w:rsid w:val="00375A81"/>
    <w:rsid w:val="00375F69"/>
    <w:rsid w:val="00376B80"/>
    <w:rsid w:val="00376DC7"/>
    <w:rsid w:val="0037746D"/>
    <w:rsid w:val="00377D3A"/>
    <w:rsid w:val="00377D45"/>
    <w:rsid w:val="00377F12"/>
    <w:rsid w:val="00377FD5"/>
    <w:rsid w:val="00380559"/>
    <w:rsid w:val="00380629"/>
    <w:rsid w:val="0038169A"/>
    <w:rsid w:val="00381F05"/>
    <w:rsid w:val="00382427"/>
    <w:rsid w:val="00383036"/>
    <w:rsid w:val="0038309B"/>
    <w:rsid w:val="00384BE7"/>
    <w:rsid w:val="0038518B"/>
    <w:rsid w:val="0038582B"/>
    <w:rsid w:val="003863A7"/>
    <w:rsid w:val="00386DF3"/>
    <w:rsid w:val="00390986"/>
    <w:rsid w:val="00390D62"/>
    <w:rsid w:val="00391C76"/>
    <w:rsid w:val="00391D11"/>
    <w:rsid w:val="00391FFB"/>
    <w:rsid w:val="0039213F"/>
    <w:rsid w:val="0039259B"/>
    <w:rsid w:val="003927C3"/>
    <w:rsid w:val="00392A73"/>
    <w:rsid w:val="00392B80"/>
    <w:rsid w:val="00392CAB"/>
    <w:rsid w:val="00393E88"/>
    <w:rsid w:val="0039445C"/>
    <w:rsid w:val="003946BD"/>
    <w:rsid w:val="00395228"/>
    <w:rsid w:val="00395A73"/>
    <w:rsid w:val="00395D76"/>
    <w:rsid w:val="00395EA3"/>
    <w:rsid w:val="003962CA"/>
    <w:rsid w:val="00396772"/>
    <w:rsid w:val="00396CDC"/>
    <w:rsid w:val="0039726E"/>
    <w:rsid w:val="003A13C6"/>
    <w:rsid w:val="003A18DE"/>
    <w:rsid w:val="003A2078"/>
    <w:rsid w:val="003A2238"/>
    <w:rsid w:val="003A2B5D"/>
    <w:rsid w:val="003A2B71"/>
    <w:rsid w:val="003A3D5B"/>
    <w:rsid w:val="003A4B50"/>
    <w:rsid w:val="003A4C55"/>
    <w:rsid w:val="003A54EA"/>
    <w:rsid w:val="003A69A7"/>
    <w:rsid w:val="003A6F89"/>
    <w:rsid w:val="003A71A1"/>
    <w:rsid w:val="003A72ED"/>
    <w:rsid w:val="003A73AB"/>
    <w:rsid w:val="003A7FB5"/>
    <w:rsid w:val="003B077F"/>
    <w:rsid w:val="003B0A38"/>
    <w:rsid w:val="003B3020"/>
    <w:rsid w:val="003B3360"/>
    <w:rsid w:val="003B3EBB"/>
    <w:rsid w:val="003B3F30"/>
    <w:rsid w:val="003B4742"/>
    <w:rsid w:val="003B4F52"/>
    <w:rsid w:val="003B6679"/>
    <w:rsid w:val="003B6F27"/>
    <w:rsid w:val="003B767D"/>
    <w:rsid w:val="003B79F7"/>
    <w:rsid w:val="003B7EF9"/>
    <w:rsid w:val="003C1465"/>
    <w:rsid w:val="003C2213"/>
    <w:rsid w:val="003C355D"/>
    <w:rsid w:val="003C3A9D"/>
    <w:rsid w:val="003C519D"/>
    <w:rsid w:val="003C590A"/>
    <w:rsid w:val="003C5B39"/>
    <w:rsid w:val="003C686E"/>
    <w:rsid w:val="003C6CBE"/>
    <w:rsid w:val="003C6F7A"/>
    <w:rsid w:val="003C730D"/>
    <w:rsid w:val="003C77FE"/>
    <w:rsid w:val="003D0741"/>
    <w:rsid w:val="003D0904"/>
    <w:rsid w:val="003D0F93"/>
    <w:rsid w:val="003D132F"/>
    <w:rsid w:val="003D1439"/>
    <w:rsid w:val="003D1761"/>
    <w:rsid w:val="003D1BBB"/>
    <w:rsid w:val="003D347C"/>
    <w:rsid w:val="003D4CA8"/>
    <w:rsid w:val="003D73BE"/>
    <w:rsid w:val="003D7E6A"/>
    <w:rsid w:val="003D7EEB"/>
    <w:rsid w:val="003E0224"/>
    <w:rsid w:val="003E083A"/>
    <w:rsid w:val="003E0B28"/>
    <w:rsid w:val="003E0C75"/>
    <w:rsid w:val="003E11F3"/>
    <w:rsid w:val="003E1C9C"/>
    <w:rsid w:val="003E2E14"/>
    <w:rsid w:val="003E33DF"/>
    <w:rsid w:val="003E39C8"/>
    <w:rsid w:val="003E3EEA"/>
    <w:rsid w:val="003E3F9A"/>
    <w:rsid w:val="003E4BF0"/>
    <w:rsid w:val="003E5027"/>
    <w:rsid w:val="003E54CE"/>
    <w:rsid w:val="003E5612"/>
    <w:rsid w:val="003E5EB9"/>
    <w:rsid w:val="003E5F4F"/>
    <w:rsid w:val="003E66A8"/>
    <w:rsid w:val="003E6C5E"/>
    <w:rsid w:val="003E71B6"/>
    <w:rsid w:val="003E7509"/>
    <w:rsid w:val="003F1ABD"/>
    <w:rsid w:val="003F1B59"/>
    <w:rsid w:val="003F49A0"/>
    <w:rsid w:val="003F49A8"/>
    <w:rsid w:val="003F4B10"/>
    <w:rsid w:val="003F4DBF"/>
    <w:rsid w:val="003F54A9"/>
    <w:rsid w:val="003F5DAB"/>
    <w:rsid w:val="003F60AE"/>
    <w:rsid w:val="003F6461"/>
    <w:rsid w:val="003F6B23"/>
    <w:rsid w:val="003F7005"/>
    <w:rsid w:val="003F75F9"/>
    <w:rsid w:val="003F7C8C"/>
    <w:rsid w:val="004001D0"/>
    <w:rsid w:val="00400760"/>
    <w:rsid w:val="004008C7"/>
    <w:rsid w:val="00400C44"/>
    <w:rsid w:val="00400C7F"/>
    <w:rsid w:val="00400F97"/>
    <w:rsid w:val="004014D2"/>
    <w:rsid w:val="004026A5"/>
    <w:rsid w:val="0040375F"/>
    <w:rsid w:val="00403C67"/>
    <w:rsid w:val="004043DE"/>
    <w:rsid w:val="00405606"/>
    <w:rsid w:val="00405611"/>
    <w:rsid w:val="00407745"/>
    <w:rsid w:val="00407E1F"/>
    <w:rsid w:val="0041166B"/>
    <w:rsid w:val="00411FC8"/>
    <w:rsid w:val="004122B3"/>
    <w:rsid w:val="00412767"/>
    <w:rsid w:val="0041348F"/>
    <w:rsid w:val="00413960"/>
    <w:rsid w:val="00413D23"/>
    <w:rsid w:val="00413F7F"/>
    <w:rsid w:val="00414238"/>
    <w:rsid w:val="00414258"/>
    <w:rsid w:val="00414491"/>
    <w:rsid w:val="00414CBF"/>
    <w:rsid w:val="00414F07"/>
    <w:rsid w:val="00415473"/>
    <w:rsid w:val="00415832"/>
    <w:rsid w:val="00416014"/>
    <w:rsid w:val="00416047"/>
    <w:rsid w:val="00416666"/>
    <w:rsid w:val="00416E25"/>
    <w:rsid w:val="00417DB1"/>
    <w:rsid w:val="004205FF"/>
    <w:rsid w:val="00420F68"/>
    <w:rsid w:val="00421935"/>
    <w:rsid w:val="004231DD"/>
    <w:rsid w:val="0042447E"/>
    <w:rsid w:val="0042497A"/>
    <w:rsid w:val="00424F68"/>
    <w:rsid w:val="00425315"/>
    <w:rsid w:val="004260A0"/>
    <w:rsid w:val="00426FFC"/>
    <w:rsid w:val="00427B31"/>
    <w:rsid w:val="00427FDE"/>
    <w:rsid w:val="00430567"/>
    <w:rsid w:val="00433395"/>
    <w:rsid w:val="004335D6"/>
    <w:rsid w:val="004337C1"/>
    <w:rsid w:val="00433ADA"/>
    <w:rsid w:val="00433F19"/>
    <w:rsid w:val="0043475A"/>
    <w:rsid w:val="00436A0B"/>
    <w:rsid w:val="004370AA"/>
    <w:rsid w:val="004373DD"/>
    <w:rsid w:val="00437626"/>
    <w:rsid w:val="00441177"/>
    <w:rsid w:val="00441504"/>
    <w:rsid w:val="00441AC0"/>
    <w:rsid w:val="004429B1"/>
    <w:rsid w:val="00442E0D"/>
    <w:rsid w:val="00443820"/>
    <w:rsid w:val="0044392A"/>
    <w:rsid w:val="00444198"/>
    <w:rsid w:val="0044554B"/>
    <w:rsid w:val="00446558"/>
    <w:rsid w:val="00446814"/>
    <w:rsid w:val="00446867"/>
    <w:rsid w:val="00446A8C"/>
    <w:rsid w:val="00446F80"/>
    <w:rsid w:val="004470C1"/>
    <w:rsid w:val="00447911"/>
    <w:rsid w:val="00447BF5"/>
    <w:rsid w:val="00447D37"/>
    <w:rsid w:val="00447DB6"/>
    <w:rsid w:val="00447FA4"/>
    <w:rsid w:val="00450BAB"/>
    <w:rsid w:val="00450D6E"/>
    <w:rsid w:val="00451496"/>
    <w:rsid w:val="004519BB"/>
    <w:rsid w:val="004526C2"/>
    <w:rsid w:val="0045276E"/>
    <w:rsid w:val="00452C3F"/>
    <w:rsid w:val="004538FF"/>
    <w:rsid w:val="0045482D"/>
    <w:rsid w:val="00454A44"/>
    <w:rsid w:val="00456BC7"/>
    <w:rsid w:val="004572B7"/>
    <w:rsid w:val="00457385"/>
    <w:rsid w:val="00457FC4"/>
    <w:rsid w:val="0046019B"/>
    <w:rsid w:val="00460B54"/>
    <w:rsid w:val="00460C65"/>
    <w:rsid w:val="004611EB"/>
    <w:rsid w:val="0046171E"/>
    <w:rsid w:val="00461856"/>
    <w:rsid w:val="00461890"/>
    <w:rsid w:val="00461915"/>
    <w:rsid w:val="00461A15"/>
    <w:rsid w:val="00461C2E"/>
    <w:rsid w:val="00462046"/>
    <w:rsid w:val="00462827"/>
    <w:rsid w:val="00462CF1"/>
    <w:rsid w:val="00462E19"/>
    <w:rsid w:val="00462E1C"/>
    <w:rsid w:val="0046308E"/>
    <w:rsid w:val="0046329D"/>
    <w:rsid w:val="0046358F"/>
    <w:rsid w:val="00463DF5"/>
    <w:rsid w:val="004645AC"/>
    <w:rsid w:val="00464608"/>
    <w:rsid w:val="004647A8"/>
    <w:rsid w:val="004651E0"/>
    <w:rsid w:val="0046664C"/>
    <w:rsid w:val="00466EE0"/>
    <w:rsid w:val="00466EEA"/>
    <w:rsid w:val="0046759E"/>
    <w:rsid w:val="004675EC"/>
    <w:rsid w:val="004676FE"/>
    <w:rsid w:val="00471B3B"/>
    <w:rsid w:val="0047211B"/>
    <w:rsid w:val="0047296D"/>
    <w:rsid w:val="00474215"/>
    <w:rsid w:val="0047485F"/>
    <w:rsid w:val="004751FC"/>
    <w:rsid w:val="00475644"/>
    <w:rsid w:val="004757F6"/>
    <w:rsid w:val="00475B56"/>
    <w:rsid w:val="00475DCE"/>
    <w:rsid w:val="004761A5"/>
    <w:rsid w:val="004770A6"/>
    <w:rsid w:val="00481811"/>
    <w:rsid w:val="0048191B"/>
    <w:rsid w:val="00483218"/>
    <w:rsid w:val="004835D6"/>
    <w:rsid w:val="004852D7"/>
    <w:rsid w:val="00485547"/>
    <w:rsid w:val="00485934"/>
    <w:rsid w:val="00485DB3"/>
    <w:rsid w:val="0048618B"/>
    <w:rsid w:val="0048665A"/>
    <w:rsid w:val="00486B0C"/>
    <w:rsid w:val="00487553"/>
    <w:rsid w:val="0048758F"/>
    <w:rsid w:val="00487CCC"/>
    <w:rsid w:val="00487CEE"/>
    <w:rsid w:val="00492058"/>
    <w:rsid w:val="004923E4"/>
    <w:rsid w:val="004928D8"/>
    <w:rsid w:val="00493380"/>
    <w:rsid w:val="004945D5"/>
    <w:rsid w:val="00494F70"/>
    <w:rsid w:val="00496890"/>
    <w:rsid w:val="00496A27"/>
    <w:rsid w:val="00497726"/>
    <w:rsid w:val="004A0D56"/>
    <w:rsid w:val="004A16D5"/>
    <w:rsid w:val="004A1A1D"/>
    <w:rsid w:val="004A1F00"/>
    <w:rsid w:val="004A2386"/>
    <w:rsid w:val="004A28B8"/>
    <w:rsid w:val="004A318D"/>
    <w:rsid w:val="004A3338"/>
    <w:rsid w:val="004A552E"/>
    <w:rsid w:val="004A68F6"/>
    <w:rsid w:val="004A6D45"/>
    <w:rsid w:val="004A6ECF"/>
    <w:rsid w:val="004A7989"/>
    <w:rsid w:val="004A7B30"/>
    <w:rsid w:val="004A7B40"/>
    <w:rsid w:val="004B030C"/>
    <w:rsid w:val="004B0938"/>
    <w:rsid w:val="004B1206"/>
    <w:rsid w:val="004B12BE"/>
    <w:rsid w:val="004B1F06"/>
    <w:rsid w:val="004B23B4"/>
    <w:rsid w:val="004B2853"/>
    <w:rsid w:val="004B2AE1"/>
    <w:rsid w:val="004B2B9D"/>
    <w:rsid w:val="004B31BC"/>
    <w:rsid w:val="004B32B6"/>
    <w:rsid w:val="004B352F"/>
    <w:rsid w:val="004B35F1"/>
    <w:rsid w:val="004B4111"/>
    <w:rsid w:val="004B4138"/>
    <w:rsid w:val="004B5787"/>
    <w:rsid w:val="004B5ABF"/>
    <w:rsid w:val="004B5F05"/>
    <w:rsid w:val="004B7349"/>
    <w:rsid w:val="004B78D9"/>
    <w:rsid w:val="004B7D74"/>
    <w:rsid w:val="004C023B"/>
    <w:rsid w:val="004C0D4F"/>
    <w:rsid w:val="004C3CB3"/>
    <w:rsid w:val="004C3CC9"/>
    <w:rsid w:val="004C3E5B"/>
    <w:rsid w:val="004C4A77"/>
    <w:rsid w:val="004C5128"/>
    <w:rsid w:val="004C796B"/>
    <w:rsid w:val="004C7E2F"/>
    <w:rsid w:val="004D0B5C"/>
    <w:rsid w:val="004D1879"/>
    <w:rsid w:val="004D1BE6"/>
    <w:rsid w:val="004D2CFF"/>
    <w:rsid w:val="004D3249"/>
    <w:rsid w:val="004D369C"/>
    <w:rsid w:val="004D36B6"/>
    <w:rsid w:val="004D3A54"/>
    <w:rsid w:val="004D50E2"/>
    <w:rsid w:val="004D53AB"/>
    <w:rsid w:val="004D53D1"/>
    <w:rsid w:val="004D56C8"/>
    <w:rsid w:val="004D5A34"/>
    <w:rsid w:val="004D5B27"/>
    <w:rsid w:val="004D6871"/>
    <w:rsid w:val="004D6DBF"/>
    <w:rsid w:val="004D75F7"/>
    <w:rsid w:val="004E0D57"/>
    <w:rsid w:val="004E0E6D"/>
    <w:rsid w:val="004E11ED"/>
    <w:rsid w:val="004E1A12"/>
    <w:rsid w:val="004E1FF8"/>
    <w:rsid w:val="004E218B"/>
    <w:rsid w:val="004E2252"/>
    <w:rsid w:val="004E361F"/>
    <w:rsid w:val="004E3812"/>
    <w:rsid w:val="004E648D"/>
    <w:rsid w:val="004E6F82"/>
    <w:rsid w:val="004E77B4"/>
    <w:rsid w:val="004E79F0"/>
    <w:rsid w:val="004E7E93"/>
    <w:rsid w:val="004F005D"/>
    <w:rsid w:val="004F0423"/>
    <w:rsid w:val="004F065A"/>
    <w:rsid w:val="004F0FF3"/>
    <w:rsid w:val="004F1037"/>
    <w:rsid w:val="004F1043"/>
    <w:rsid w:val="004F11C4"/>
    <w:rsid w:val="004F17BB"/>
    <w:rsid w:val="004F19B4"/>
    <w:rsid w:val="004F1B26"/>
    <w:rsid w:val="004F22C8"/>
    <w:rsid w:val="004F2353"/>
    <w:rsid w:val="004F2613"/>
    <w:rsid w:val="004F2AD8"/>
    <w:rsid w:val="004F2BE1"/>
    <w:rsid w:val="004F2FBE"/>
    <w:rsid w:val="004F3E8C"/>
    <w:rsid w:val="004F4455"/>
    <w:rsid w:val="004F480F"/>
    <w:rsid w:val="004F482B"/>
    <w:rsid w:val="004F5638"/>
    <w:rsid w:val="004F5647"/>
    <w:rsid w:val="004F5973"/>
    <w:rsid w:val="004F5B1B"/>
    <w:rsid w:val="004F7C4B"/>
    <w:rsid w:val="005000B6"/>
    <w:rsid w:val="00500862"/>
    <w:rsid w:val="00500927"/>
    <w:rsid w:val="00501B9F"/>
    <w:rsid w:val="00502123"/>
    <w:rsid w:val="0050241E"/>
    <w:rsid w:val="005028FC"/>
    <w:rsid w:val="00502DA0"/>
    <w:rsid w:val="00502E18"/>
    <w:rsid w:val="00503079"/>
    <w:rsid w:val="005034A7"/>
    <w:rsid w:val="00503B1D"/>
    <w:rsid w:val="00503B64"/>
    <w:rsid w:val="00503EE8"/>
    <w:rsid w:val="005041E4"/>
    <w:rsid w:val="0050450B"/>
    <w:rsid w:val="005047ED"/>
    <w:rsid w:val="00504843"/>
    <w:rsid w:val="00505370"/>
    <w:rsid w:val="005057AF"/>
    <w:rsid w:val="00505815"/>
    <w:rsid w:val="00505B3F"/>
    <w:rsid w:val="00505E06"/>
    <w:rsid w:val="00506051"/>
    <w:rsid w:val="005062B1"/>
    <w:rsid w:val="00506317"/>
    <w:rsid w:val="005067F3"/>
    <w:rsid w:val="00506AFA"/>
    <w:rsid w:val="00507411"/>
    <w:rsid w:val="00507B1E"/>
    <w:rsid w:val="00507D12"/>
    <w:rsid w:val="0051048B"/>
    <w:rsid w:val="005106BE"/>
    <w:rsid w:val="00511D24"/>
    <w:rsid w:val="005125DB"/>
    <w:rsid w:val="00512721"/>
    <w:rsid w:val="00512792"/>
    <w:rsid w:val="005127C8"/>
    <w:rsid w:val="00512AFC"/>
    <w:rsid w:val="00512BE8"/>
    <w:rsid w:val="0051310C"/>
    <w:rsid w:val="005136E1"/>
    <w:rsid w:val="00513A34"/>
    <w:rsid w:val="00513D5A"/>
    <w:rsid w:val="00513DB3"/>
    <w:rsid w:val="00515626"/>
    <w:rsid w:val="00515775"/>
    <w:rsid w:val="00515CE4"/>
    <w:rsid w:val="00515CFA"/>
    <w:rsid w:val="00515DBA"/>
    <w:rsid w:val="005160F5"/>
    <w:rsid w:val="0051641B"/>
    <w:rsid w:val="00516892"/>
    <w:rsid w:val="00517138"/>
    <w:rsid w:val="00517C3D"/>
    <w:rsid w:val="00517E44"/>
    <w:rsid w:val="00520389"/>
    <w:rsid w:val="00520DEC"/>
    <w:rsid w:val="00521102"/>
    <w:rsid w:val="00521560"/>
    <w:rsid w:val="00521B10"/>
    <w:rsid w:val="005223A6"/>
    <w:rsid w:val="0052391B"/>
    <w:rsid w:val="00523CDB"/>
    <w:rsid w:val="00524115"/>
    <w:rsid w:val="0052445A"/>
    <w:rsid w:val="005245F4"/>
    <w:rsid w:val="00524C9A"/>
    <w:rsid w:val="00525249"/>
    <w:rsid w:val="00525546"/>
    <w:rsid w:val="00525B13"/>
    <w:rsid w:val="0052673A"/>
    <w:rsid w:val="00526BDD"/>
    <w:rsid w:val="00526EA5"/>
    <w:rsid w:val="0052749F"/>
    <w:rsid w:val="0052794A"/>
    <w:rsid w:val="005312B4"/>
    <w:rsid w:val="005320EA"/>
    <w:rsid w:val="00533205"/>
    <w:rsid w:val="00534AAC"/>
    <w:rsid w:val="00534B38"/>
    <w:rsid w:val="00534CD3"/>
    <w:rsid w:val="00534FEE"/>
    <w:rsid w:val="0053538D"/>
    <w:rsid w:val="00535459"/>
    <w:rsid w:val="00535631"/>
    <w:rsid w:val="00536493"/>
    <w:rsid w:val="00537238"/>
    <w:rsid w:val="005374BF"/>
    <w:rsid w:val="005400D1"/>
    <w:rsid w:val="0054021F"/>
    <w:rsid w:val="0054142D"/>
    <w:rsid w:val="005418BF"/>
    <w:rsid w:val="00541904"/>
    <w:rsid w:val="00543023"/>
    <w:rsid w:val="00543286"/>
    <w:rsid w:val="0054381C"/>
    <w:rsid w:val="00543AEE"/>
    <w:rsid w:val="00543CF4"/>
    <w:rsid w:val="005450A6"/>
    <w:rsid w:val="005463AE"/>
    <w:rsid w:val="005466C0"/>
    <w:rsid w:val="00546DAB"/>
    <w:rsid w:val="005470C7"/>
    <w:rsid w:val="00547803"/>
    <w:rsid w:val="00550274"/>
    <w:rsid w:val="00550346"/>
    <w:rsid w:val="0055089F"/>
    <w:rsid w:val="00550BD4"/>
    <w:rsid w:val="00550D90"/>
    <w:rsid w:val="005510AF"/>
    <w:rsid w:val="005512D2"/>
    <w:rsid w:val="005512D5"/>
    <w:rsid w:val="00551656"/>
    <w:rsid w:val="00551A8E"/>
    <w:rsid w:val="00551E60"/>
    <w:rsid w:val="00552030"/>
    <w:rsid w:val="00552684"/>
    <w:rsid w:val="00553354"/>
    <w:rsid w:val="005543E7"/>
    <w:rsid w:val="0055598D"/>
    <w:rsid w:val="00556C03"/>
    <w:rsid w:val="005573D5"/>
    <w:rsid w:val="005573FE"/>
    <w:rsid w:val="00557413"/>
    <w:rsid w:val="00557861"/>
    <w:rsid w:val="00557CC6"/>
    <w:rsid w:val="005628EA"/>
    <w:rsid w:val="00562BA2"/>
    <w:rsid w:val="0056427B"/>
    <w:rsid w:val="005643EC"/>
    <w:rsid w:val="00564795"/>
    <w:rsid w:val="00564E46"/>
    <w:rsid w:val="00564EE6"/>
    <w:rsid w:val="005656D6"/>
    <w:rsid w:val="00566031"/>
    <w:rsid w:val="0056667A"/>
    <w:rsid w:val="00566A99"/>
    <w:rsid w:val="00566BF9"/>
    <w:rsid w:val="00567471"/>
    <w:rsid w:val="005675D5"/>
    <w:rsid w:val="005676E3"/>
    <w:rsid w:val="00567953"/>
    <w:rsid w:val="00567A44"/>
    <w:rsid w:val="00567AE2"/>
    <w:rsid w:val="00567F4A"/>
    <w:rsid w:val="00570370"/>
    <w:rsid w:val="0057074A"/>
    <w:rsid w:val="00570755"/>
    <w:rsid w:val="00570A4A"/>
    <w:rsid w:val="00570E6A"/>
    <w:rsid w:val="00570E84"/>
    <w:rsid w:val="0057587C"/>
    <w:rsid w:val="0057643B"/>
    <w:rsid w:val="00577A55"/>
    <w:rsid w:val="00577C29"/>
    <w:rsid w:val="005805A8"/>
    <w:rsid w:val="0058118F"/>
    <w:rsid w:val="0058187B"/>
    <w:rsid w:val="00581A5A"/>
    <w:rsid w:val="00581D5A"/>
    <w:rsid w:val="00582ADC"/>
    <w:rsid w:val="00583273"/>
    <w:rsid w:val="0058362C"/>
    <w:rsid w:val="00584072"/>
    <w:rsid w:val="005840B8"/>
    <w:rsid w:val="005852CD"/>
    <w:rsid w:val="0058554E"/>
    <w:rsid w:val="0058731D"/>
    <w:rsid w:val="005873D3"/>
    <w:rsid w:val="005874F4"/>
    <w:rsid w:val="0059007E"/>
    <w:rsid w:val="00590171"/>
    <w:rsid w:val="00590358"/>
    <w:rsid w:val="0059272A"/>
    <w:rsid w:val="0059307F"/>
    <w:rsid w:val="00593236"/>
    <w:rsid w:val="0059348C"/>
    <w:rsid w:val="005936A9"/>
    <w:rsid w:val="00595C32"/>
    <w:rsid w:val="005961C2"/>
    <w:rsid w:val="00596412"/>
    <w:rsid w:val="00597353"/>
    <w:rsid w:val="0059735E"/>
    <w:rsid w:val="00597480"/>
    <w:rsid w:val="00597D00"/>
    <w:rsid w:val="005A02D1"/>
    <w:rsid w:val="005A0DE2"/>
    <w:rsid w:val="005A37B8"/>
    <w:rsid w:val="005A3AE4"/>
    <w:rsid w:val="005A4139"/>
    <w:rsid w:val="005A48C1"/>
    <w:rsid w:val="005A4B84"/>
    <w:rsid w:val="005A60C4"/>
    <w:rsid w:val="005A676C"/>
    <w:rsid w:val="005A6CFB"/>
    <w:rsid w:val="005A7908"/>
    <w:rsid w:val="005B07DC"/>
    <w:rsid w:val="005B0CD5"/>
    <w:rsid w:val="005B1C57"/>
    <w:rsid w:val="005B1C6A"/>
    <w:rsid w:val="005B2E6F"/>
    <w:rsid w:val="005B2FE3"/>
    <w:rsid w:val="005B395A"/>
    <w:rsid w:val="005B3DE2"/>
    <w:rsid w:val="005B40A5"/>
    <w:rsid w:val="005B4864"/>
    <w:rsid w:val="005B4C6E"/>
    <w:rsid w:val="005B5183"/>
    <w:rsid w:val="005B5A8A"/>
    <w:rsid w:val="005B5EC0"/>
    <w:rsid w:val="005B7177"/>
    <w:rsid w:val="005B74F4"/>
    <w:rsid w:val="005B769E"/>
    <w:rsid w:val="005B7FD4"/>
    <w:rsid w:val="005C00BE"/>
    <w:rsid w:val="005C0DDB"/>
    <w:rsid w:val="005C1ED7"/>
    <w:rsid w:val="005C1F89"/>
    <w:rsid w:val="005C359D"/>
    <w:rsid w:val="005C3E58"/>
    <w:rsid w:val="005C4636"/>
    <w:rsid w:val="005C4C63"/>
    <w:rsid w:val="005C703F"/>
    <w:rsid w:val="005C7DFF"/>
    <w:rsid w:val="005D07A7"/>
    <w:rsid w:val="005D17F8"/>
    <w:rsid w:val="005D2057"/>
    <w:rsid w:val="005D32B0"/>
    <w:rsid w:val="005D4046"/>
    <w:rsid w:val="005D4357"/>
    <w:rsid w:val="005D4972"/>
    <w:rsid w:val="005D4BAF"/>
    <w:rsid w:val="005D4E7B"/>
    <w:rsid w:val="005D6514"/>
    <w:rsid w:val="005D6676"/>
    <w:rsid w:val="005D689A"/>
    <w:rsid w:val="005D6AD3"/>
    <w:rsid w:val="005D6E0F"/>
    <w:rsid w:val="005D72D8"/>
    <w:rsid w:val="005D78E9"/>
    <w:rsid w:val="005E0600"/>
    <w:rsid w:val="005E0B74"/>
    <w:rsid w:val="005E138B"/>
    <w:rsid w:val="005E15E0"/>
    <w:rsid w:val="005E1605"/>
    <w:rsid w:val="005E2170"/>
    <w:rsid w:val="005E254A"/>
    <w:rsid w:val="005E2790"/>
    <w:rsid w:val="005E2925"/>
    <w:rsid w:val="005E2CA4"/>
    <w:rsid w:val="005E2D7E"/>
    <w:rsid w:val="005E2E10"/>
    <w:rsid w:val="005E3202"/>
    <w:rsid w:val="005E3581"/>
    <w:rsid w:val="005E3E8B"/>
    <w:rsid w:val="005E441D"/>
    <w:rsid w:val="005E4C6D"/>
    <w:rsid w:val="005E4DAF"/>
    <w:rsid w:val="005E5157"/>
    <w:rsid w:val="005E526F"/>
    <w:rsid w:val="005E547E"/>
    <w:rsid w:val="005E5C90"/>
    <w:rsid w:val="005E5EF4"/>
    <w:rsid w:val="005E681F"/>
    <w:rsid w:val="005E6BB3"/>
    <w:rsid w:val="005E6D28"/>
    <w:rsid w:val="005E6E77"/>
    <w:rsid w:val="005F0226"/>
    <w:rsid w:val="005F1278"/>
    <w:rsid w:val="005F1EFE"/>
    <w:rsid w:val="005F1F89"/>
    <w:rsid w:val="005F2A8C"/>
    <w:rsid w:val="005F2D89"/>
    <w:rsid w:val="005F43D1"/>
    <w:rsid w:val="005F466D"/>
    <w:rsid w:val="005F4850"/>
    <w:rsid w:val="005F52CA"/>
    <w:rsid w:val="005F5333"/>
    <w:rsid w:val="005F5B54"/>
    <w:rsid w:val="005F5D84"/>
    <w:rsid w:val="005F60CB"/>
    <w:rsid w:val="005F62C4"/>
    <w:rsid w:val="005F6375"/>
    <w:rsid w:val="005F71D4"/>
    <w:rsid w:val="005F74E4"/>
    <w:rsid w:val="005F7725"/>
    <w:rsid w:val="005F7844"/>
    <w:rsid w:val="005F7C25"/>
    <w:rsid w:val="006013B3"/>
    <w:rsid w:val="00601666"/>
    <w:rsid w:val="00601724"/>
    <w:rsid w:val="00603F0D"/>
    <w:rsid w:val="00603FFA"/>
    <w:rsid w:val="0060478E"/>
    <w:rsid w:val="00604D76"/>
    <w:rsid w:val="00605230"/>
    <w:rsid w:val="006052B3"/>
    <w:rsid w:val="00605B4F"/>
    <w:rsid w:val="00606291"/>
    <w:rsid w:val="00606745"/>
    <w:rsid w:val="00607435"/>
    <w:rsid w:val="00607474"/>
    <w:rsid w:val="006108DF"/>
    <w:rsid w:val="00610DD0"/>
    <w:rsid w:val="006116B8"/>
    <w:rsid w:val="00611A7E"/>
    <w:rsid w:val="00611B61"/>
    <w:rsid w:val="00611CC2"/>
    <w:rsid w:val="006125DF"/>
    <w:rsid w:val="00613ABC"/>
    <w:rsid w:val="00613EBD"/>
    <w:rsid w:val="006152E4"/>
    <w:rsid w:val="00615AD0"/>
    <w:rsid w:val="00615B02"/>
    <w:rsid w:val="006160DF"/>
    <w:rsid w:val="006162AE"/>
    <w:rsid w:val="006172A4"/>
    <w:rsid w:val="00617565"/>
    <w:rsid w:val="00620EAD"/>
    <w:rsid w:val="00620F6F"/>
    <w:rsid w:val="006223B9"/>
    <w:rsid w:val="00622438"/>
    <w:rsid w:val="00622A75"/>
    <w:rsid w:val="00622E34"/>
    <w:rsid w:val="0062403A"/>
    <w:rsid w:val="0062477B"/>
    <w:rsid w:val="006252E6"/>
    <w:rsid w:val="00625F79"/>
    <w:rsid w:val="00631459"/>
    <w:rsid w:val="00631BF8"/>
    <w:rsid w:val="0063256B"/>
    <w:rsid w:val="006325E0"/>
    <w:rsid w:val="00632A9E"/>
    <w:rsid w:val="0063480F"/>
    <w:rsid w:val="006349B4"/>
    <w:rsid w:val="00634CA6"/>
    <w:rsid w:val="00635A77"/>
    <w:rsid w:val="00635B9A"/>
    <w:rsid w:val="00636315"/>
    <w:rsid w:val="00636CAF"/>
    <w:rsid w:val="00637280"/>
    <w:rsid w:val="00637285"/>
    <w:rsid w:val="0063753E"/>
    <w:rsid w:val="00637BBF"/>
    <w:rsid w:val="00637D14"/>
    <w:rsid w:val="00637E33"/>
    <w:rsid w:val="006403E3"/>
    <w:rsid w:val="00640CFD"/>
    <w:rsid w:val="0064138C"/>
    <w:rsid w:val="006414FF"/>
    <w:rsid w:val="00641E4A"/>
    <w:rsid w:val="00642B75"/>
    <w:rsid w:val="006435A9"/>
    <w:rsid w:val="00643707"/>
    <w:rsid w:val="0064437D"/>
    <w:rsid w:val="00644F55"/>
    <w:rsid w:val="0064594E"/>
    <w:rsid w:val="00646808"/>
    <w:rsid w:val="00646FFD"/>
    <w:rsid w:val="00650796"/>
    <w:rsid w:val="00650BE2"/>
    <w:rsid w:val="00653083"/>
    <w:rsid w:val="00653DA4"/>
    <w:rsid w:val="006541A1"/>
    <w:rsid w:val="00654D15"/>
    <w:rsid w:val="006551A9"/>
    <w:rsid w:val="00656304"/>
    <w:rsid w:val="00657E72"/>
    <w:rsid w:val="00660126"/>
    <w:rsid w:val="00661062"/>
    <w:rsid w:val="00661BAF"/>
    <w:rsid w:val="00661C39"/>
    <w:rsid w:val="00661DB9"/>
    <w:rsid w:val="00661E9A"/>
    <w:rsid w:val="0066222C"/>
    <w:rsid w:val="00663494"/>
    <w:rsid w:val="006637C9"/>
    <w:rsid w:val="00663C85"/>
    <w:rsid w:val="0066417F"/>
    <w:rsid w:val="0066463B"/>
    <w:rsid w:val="00664C28"/>
    <w:rsid w:val="00665D6A"/>
    <w:rsid w:val="00666916"/>
    <w:rsid w:val="00666D72"/>
    <w:rsid w:val="00667495"/>
    <w:rsid w:val="00667598"/>
    <w:rsid w:val="0067047C"/>
    <w:rsid w:val="00671302"/>
    <w:rsid w:val="00671833"/>
    <w:rsid w:val="00672503"/>
    <w:rsid w:val="00672E5D"/>
    <w:rsid w:val="006741CD"/>
    <w:rsid w:val="00676029"/>
    <w:rsid w:val="006776E1"/>
    <w:rsid w:val="00677933"/>
    <w:rsid w:val="00677EF0"/>
    <w:rsid w:val="00680723"/>
    <w:rsid w:val="00680A89"/>
    <w:rsid w:val="00680A90"/>
    <w:rsid w:val="00680AEE"/>
    <w:rsid w:val="00680D56"/>
    <w:rsid w:val="00680F83"/>
    <w:rsid w:val="00681007"/>
    <w:rsid w:val="00681896"/>
    <w:rsid w:val="006823CA"/>
    <w:rsid w:val="0068276A"/>
    <w:rsid w:val="00682E04"/>
    <w:rsid w:val="006832B4"/>
    <w:rsid w:val="00684550"/>
    <w:rsid w:val="00685235"/>
    <w:rsid w:val="00685A3A"/>
    <w:rsid w:val="0068624C"/>
    <w:rsid w:val="00686AAC"/>
    <w:rsid w:val="00687714"/>
    <w:rsid w:val="006877CC"/>
    <w:rsid w:val="00690414"/>
    <w:rsid w:val="00690866"/>
    <w:rsid w:val="0069108D"/>
    <w:rsid w:val="00691B89"/>
    <w:rsid w:val="006923A2"/>
    <w:rsid w:val="00692532"/>
    <w:rsid w:val="0069261B"/>
    <w:rsid w:val="00692655"/>
    <w:rsid w:val="00692722"/>
    <w:rsid w:val="00692779"/>
    <w:rsid w:val="00692CDF"/>
    <w:rsid w:val="00693760"/>
    <w:rsid w:val="00693898"/>
    <w:rsid w:val="0069426D"/>
    <w:rsid w:val="00694A62"/>
    <w:rsid w:val="00694AEC"/>
    <w:rsid w:val="00694C5C"/>
    <w:rsid w:val="00695E98"/>
    <w:rsid w:val="006968A8"/>
    <w:rsid w:val="00696B4C"/>
    <w:rsid w:val="00697349"/>
    <w:rsid w:val="006974AF"/>
    <w:rsid w:val="006A0361"/>
    <w:rsid w:val="006A1215"/>
    <w:rsid w:val="006A13AC"/>
    <w:rsid w:val="006A14B5"/>
    <w:rsid w:val="006A1E63"/>
    <w:rsid w:val="006A1EF3"/>
    <w:rsid w:val="006A27A0"/>
    <w:rsid w:val="006A3C1C"/>
    <w:rsid w:val="006A4644"/>
    <w:rsid w:val="006A4B9C"/>
    <w:rsid w:val="006A682F"/>
    <w:rsid w:val="006A6DBE"/>
    <w:rsid w:val="006A7024"/>
    <w:rsid w:val="006A720D"/>
    <w:rsid w:val="006A763E"/>
    <w:rsid w:val="006B09EE"/>
    <w:rsid w:val="006B0ACA"/>
    <w:rsid w:val="006B1416"/>
    <w:rsid w:val="006B1BF3"/>
    <w:rsid w:val="006B1D6E"/>
    <w:rsid w:val="006B276E"/>
    <w:rsid w:val="006B2C03"/>
    <w:rsid w:val="006B2F77"/>
    <w:rsid w:val="006B30AB"/>
    <w:rsid w:val="006B38BB"/>
    <w:rsid w:val="006B4627"/>
    <w:rsid w:val="006B49C3"/>
    <w:rsid w:val="006B56D0"/>
    <w:rsid w:val="006B57B8"/>
    <w:rsid w:val="006B6782"/>
    <w:rsid w:val="006B6817"/>
    <w:rsid w:val="006B7359"/>
    <w:rsid w:val="006B752B"/>
    <w:rsid w:val="006B7A15"/>
    <w:rsid w:val="006C0841"/>
    <w:rsid w:val="006C0BCB"/>
    <w:rsid w:val="006C20CE"/>
    <w:rsid w:val="006C2605"/>
    <w:rsid w:val="006C3584"/>
    <w:rsid w:val="006C4536"/>
    <w:rsid w:val="006C46FD"/>
    <w:rsid w:val="006C4AC8"/>
    <w:rsid w:val="006C522E"/>
    <w:rsid w:val="006C5A9A"/>
    <w:rsid w:val="006C6093"/>
    <w:rsid w:val="006C638F"/>
    <w:rsid w:val="006C6551"/>
    <w:rsid w:val="006C70B7"/>
    <w:rsid w:val="006C7462"/>
    <w:rsid w:val="006C74D5"/>
    <w:rsid w:val="006C74ED"/>
    <w:rsid w:val="006D0286"/>
    <w:rsid w:val="006D0C3F"/>
    <w:rsid w:val="006D1004"/>
    <w:rsid w:val="006D119B"/>
    <w:rsid w:val="006D169B"/>
    <w:rsid w:val="006D186D"/>
    <w:rsid w:val="006D1AD9"/>
    <w:rsid w:val="006D1D60"/>
    <w:rsid w:val="006D22A1"/>
    <w:rsid w:val="006D25A3"/>
    <w:rsid w:val="006D3096"/>
    <w:rsid w:val="006D39A5"/>
    <w:rsid w:val="006D3A51"/>
    <w:rsid w:val="006D404F"/>
    <w:rsid w:val="006D4585"/>
    <w:rsid w:val="006D47EC"/>
    <w:rsid w:val="006D4F71"/>
    <w:rsid w:val="006D5D66"/>
    <w:rsid w:val="006D5FEC"/>
    <w:rsid w:val="006D64FF"/>
    <w:rsid w:val="006D67D7"/>
    <w:rsid w:val="006D6818"/>
    <w:rsid w:val="006D74FD"/>
    <w:rsid w:val="006E0327"/>
    <w:rsid w:val="006E0797"/>
    <w:rsid w:val="006E0B8C"/>
    <w:rsid w:val="006E1559"/>
    <w:rsid w:val="006E19AE"/>
    <w:rsid w:val="006E2A36"/>
    <w:rsid w:val="006E2C1F"/>
    <w:rsid w:val="006E3F79"/>
    <w:rsid w:val="006E3FB1"/>
    <w:rsid w:val="006E410A"/>
    <w:rsid w:val="006E4236"/>
    <w:rsid w:val="006E4407"/>
    <w:rsid w:val="006E46F1"/>
    <w:rsid w:val="006E492C"/>
    <w:rsid w:val="006E5158"/>
    <w:rsid w:val="006E54AA"/>
    <w:rsid w:val="006E6B03"/>
    <w:rsid w:val="006E781F"/>
    <w:rsid w:val="006F0CEB"/>
    <w:rsid w:val="006F0D9A"/>
    <w:rsid w:val="006F1B88"/>
    <w:rsid w:val="006F23EB"/>
    <w:rsid w:val="006F2EC2"/>
    <w:rsid w:val="006F3154"/>
    <w:rsid w:val="006F3733"/>
    <w:rsid w:val="006F3775"/>
    <w:rsid w:val="006F3D19"/>
    <w:rsid w:val="006F43DA"/>
    <w:rsid w:val="006F6372"/>
    <w:rsid w:val="006F6595"/>
    <w:rsid w:val="006F70CC"/>
    <w:rsid w:val="006F77A2"/>
    <w:rsid w:val="00701E9C"/>
    <w:rsid w:val="007026DE"/>
    <w:rsid w:val="00703185"/>
    <w:rsid w:val="00703E1F"/>
    <w:rsid w:val="00703E46"/>
    <w:rsid w:val="0070412A"/>
    <w:rsid w:val="0070659E"/>
    <w:rsid w:val="007069CB"/>
    <w:rsid w:val="00706B71"/>
    <w:rsid w:val="00706E5C"/>
    <w:rsid w:val="00707543"/>
    <w:rsid w:val="007078FC"/>
    <w:rsid w:val="007104B8"/>
    <w:rsid w:val="0071189C"/>
    <w:rsid w:val="00712C76"/>
    <w:rsid w:val="007137FA"/>
    <w:rsid w:val="00713A03"/>
    <w:rsid w:val="007145A4"/>
    <w:rsid w:val="007154D7"/>
    <w:rsid w:val="007155EF"/>
    <w:rsid w:val="00715890"/>
    <w:rsid w:val="007159C8"/>
    <w:rsid w:val="00715B44"/>
    <w:rsid w:val="007163C2"/>
    <w:rsid w:val="00716758"/>
    <w:rsid w:val="00717026"/>
    <w:rsid w:val="00717557"/>
    <w:rsid w:val="007206A5"/>
    <w:rsid w:val="007208EB"/>
    <w:rsid w:val="00720CAA"/>
    <w:rsid w:val="00720E49"/>
    <w:rsid w:val="007214E0"/>
    <w:rsid w:val="00721A3D"/>
    <w:rsid w:val="0072264F"/>
    <w:rsid w:val="00722BB1"/>
    <w:rsid w:val="00722D08"/>
    <w:rsid w:val="00722E8C"/>
    <w:rsid w:val="007239F1"/>
    <w:rsid w:val="0072483E"/>
    <w:rsid w:val="0072498A"/>
    <w:rsid w:val="00725219"/>
    <w:rsid w:val="007264F3"/>
    <w:rsid w:val="00726833"/>
    <w:rsid w:val="0072684F"/>
    <w:rsid w:val="00726ADF"/>
    <w:rsid w:val="00726B6F"/>
    <w:rsid w:val="00726D89"/>
    <w:rsid w:val="007270D2"/>
    <w:rsid w:val="0072760A"/>
    <w:rsid w:val="00727B0D"/>
    <w:rsid w:val="007309F6"/>
    <w:rsid w:val="007318FD"/>
    <w:rsid w:val="00731923"/>
    <w:rsid w:val="00731A43"/>
    <w:rsid w:val="00732370"/>
    <w:rsid w:val="007324D8"/>
    <w:rsid w:val="00732ECC"/>
    <w:rsid w:val="00733106"/>
    <w:rsid w:val="007332C4"/>
    <w:rsid w:val="0073394B"/>
    <w:rsid w:val="007344A3"/>
    <w:rsid w:val="00734BFC"/>
    <w:rsid w:val="00734EEF"/>
    <w:rsid w:val="0073574C"/>
    <w:rsid w:val="00736C07"/>
    <w:rsid w:val="00737C66"/>
    <w:rsid w:val="0074044A"/>
    <w:rsid w:val="007404C8"/>
    <w:rsid w:val="00740537"/>
    <w:rsid w:val="00740AD0"/>
    <w:rsid w:val="00740D41"/>
    <w:rsid w:val="00741240"/>
    <w:rsid w:val="007413F4"/>
    <w:rsid w:val="00741468"/>
    <w:rsid w:val="007418C9"/>
    <w:rsid w:val="007424DC"/>
    <w:rsid w:val="00742D09"/>
    <w:rsid w:val="00742FEA"/>
    <w:rsid w:val="00743838"/>
    <w:rsid w:val="00743F89"/>
    <w:rsid w:val="007443E0"/>
    <w:rsid w:val="0074476A"/>
    <w:rsid w:val="0074587F"/>
    <w:rsid w:val="0074591E"/>
    <w:rsid w:val="00747182"/>
    <w:rsid w:val="0074728F"/>
    <w:rsid w:val="0074766A"/>
    <w:rsid w:val="00751798"/>
    <w:rsid w:val="00751A7E"/>
    <w:rsid w:val="00754271"/>
    <w:rsid w:val="00754610"/>
    <w:rsid w:val="00755310"/>
    <w:rsid w:val="00755C57"/>
    <w:rsid w:val="007562BF"/>
    <w:rsid w:val="00756F9A"/>
    <w:rsid w:val="00757478"/>
    <w:rsid w:val="007574F9"/>
    <w:rsid w:val="00757C5A"/>
    <w:rsid w:val="00757EB8"/>
    <w:rsid w:val="007600F1"/>
    <w:rsid w:val="007608C0"/>
    <w:rsid w:val="00760A34"/>
    <w:rsid w:val="00760E1B"/>
    <w:rsid w:val="00760FEC"/>
    <w:rsid w:val="0076223B"/>
    <w:rsid w:val="007626CE"/>
    <w:rsid w:val="00763021"/>
    <w:rsid w:val="00763027"/>
    <w:rsid w:val="00763330"/>
    <w:rsid w:val="007634D0"/>
    <w:rsid w:val="0076419D"/>
    <w:rsid w:val="007657B8"/>
    <w:rsid w:val="00766387"/>
    <w:rsid w:val="00766406"/>
    <w:rsid w:val="007666D2"/>
    <w:rsid w:val="00766B43"/>
    <w:rsid w:val="007671B4"/>
    <w:rsid w:val="0076789E"/>
    <w:rsid w:val="00767A9E"/>
    <w:rsid w:val="00767AD9"/>
    <w:rsid w:val="00767B97"/>
    <w:rsid w:val="00767BE9"/>
    <w:rsid w:val="00767E48"/>
    <w:rsid w:val="00770EB8"/>
    <w:rsid w:val="00771104"/>
    <w:rsid w:val="007714B1"/>
    <w:rsid w:val="007714CB"/>
    <w:rsid w:val="007721F8"/>
    <w:rsid w:val="007723E8"/>
    <w:rsid w:val="00772C2F"/>
    <w:rsid w:val="007740E9"/>
    <w:rsid w:val="00774152"/>
    <w:rsid w:val="00775478"/>
    <w:rsid w:val="00775873"/>
    <w:rsid w:val="00775CE7"/>
    <w:rsid w:val="00776000"/>
    <w:rsid w:val="0077646E"/>
    <w:rsid w:val="00776E50"/>
    <w:rsid w:val="00776FBC"/>
    <w:rsid w:val="007770DE"/>
    <w:rsid w:val="00777751"/>
    <w:rsid w:val="00777A4A"/>
    <w:rsid w:val="00777EBA"/>
    <w:rsid w:val="00777F83"/>
    <w:rsid w:val="00780085"/>
    <w:rsid w:val="00780E6E"/>
    <w:rsid w:val="00781059"/>
    <w:rsid w:val="007814E9"/>
    <w:rsid w:val="007816B8"/>
    <w:rsid w:val="00782A99"/>
    <w:rsid w:val="00782F4F"/>
    <w:rsid w:val="007830C0"/>
    <w:rsid w:val="00784687"/>
    <w:rsid w:val="00785666"/>
    <w:rsid w:val="007856BC"/>
    <w:rsid w:val="00785833"/>
    <w:rsid w:val="0078611F"/>
    <w:rsid w:val="00786575"/>
    <w:rsid w:val="007867F7"/>
    <w:rsid w:val="007869B0"/>
    <w:rsid w:val="00786ED8"/>
    <w:rsid w:val="00787275"/>
    <w:rsid w:val="00790C77"/>
    <w:rsid w:val="0079120E"/>
    <w:rsid w:val="007912EB"/>
    <w:rsid w:val="00791454"/>
    <w:rsid w:val="007914DD"/>
    <w:rsid w:val="00792361"/>
    <w:rsid w:val="00792837"/>
    <w:rsid w:val="00792905"/>
    <w:rsid w:val="0079308D"/>
    <w:rsid w:val="00793297"/>
    <w:rsid w:val="00793537"/>
    <w:rsid w:val="00793EBD"/>
    <w:rsid w:val="00795CEF"/>
    <w:rsid w:val="00795DDF"/>
    <w:rsid w:val="0079639E"/>
    <w:rsid w:val="00796860"/>
    <w:rsid w:val="00796AC3"/>
    <w:rsid w:val="00796FB1"/>
    <w:rsid w:val="00797A78"/>
    <w:rsid w:val="007A0200"/>
    <w:rsid w:val="007A0598"/>
    <w:rsid w:val="007A18CE"/>
    <w:rsid w:val="007A1B23"/>
    <w:rsid w:val="007A1CD6"/>
    <w:rsid w:val="007A1DE7"/>
    <w:rsid w:val="007A2523"/>
    <w:rsid w:val="007A385C"/>
    <w:rsid w:val="007A49B6"/>
    <w:rsid w:val="007A4DC2"/>
    <w:rsid w:val="007A4F46"/>
    <w:rsid w:val="007A574F"/>
    <w:rsid w:val="007A5760"/>
    <w:rsid w:val="007A5E65"/>
    <w:rsid w:val="007A6861"/>
    <w:rsid w:val="007A7C59"/>
    <w:rsid w:val="007A7DFA"/>
    <w:rsid w:val="007B0FBE"/>
    <w:rsid w:val="007B131D"/>
    <w:rsid w:val="007B211A"/>
    <w:rsid w:val="007B25E7"/>
    <w:rsid w:val="007B3EE9"/>
    <w:rsid w:val="007B4A1A"/>
    <w:rsid w:val="007B5C93"/>
    <w:rsid w:val="007B5D11"/>
    <w:rsid w:val="007B72A8"/>
    <w:rsid w:val="007B78E6"/>
    <w:rsid w:val="007B7DFA"/>
    <w:rsid w:val="007C0D13"/>
    <w:rsid w:val="007C101D"/>
    <w:rsid w:val="007C1691"/>
    <w:rsid w:val="007C1894"/>
    <w:rsid w:val="007C1B44"/>
    <w:rsid w:val="007C1D36"/>
    <w:rsid w:val="007C234C"/>
    <w:rsid w:val="007C23DD"/>
    <w:rsid w:val="007C2A56"/>
    <w:rsid w:val="007C2CB2"/>
    <w:rsid w:val="007C2F57"/>
    <w:rsid w:val="007C3DF4"/>
    <w:rsid w:val="007C3EB5"/>
    <w:rsid w:val="007C4693"/>
    <w:rsid w:val="007C48A6"/>
    <w:rsid w:val="007C4946"/>
    <w:rsid w:val="007C6149"/>
    <w:rsid w:val="007C6404"/>
    <w:rsid w:val="007C6765"/>
    <w:rsid w:val="007C74CE"/>
    <w:rsid w:val="007D01EC"/>
    <w:rsid w:val="007D094E"/>
    <w:rsid w:val="007D101C"/>
    <w:rsid w:val="007D14D3"/>
    <w:rsid w:val="007D2394"/>
    <w:rsid w:val="007D2985"/>
    <w:rsid w:val="007D2F84"/>
    <w:rsid w:val="007D2FF6"/>
    <w:rsid w:val="007D30A4"/>
    <w:rsid w:val="007D3E23"/>
    <w:rsid w:val="007D5A0A"/>
    <w:rsid w:val="007D677F"/>
    <w:rsid w:val="007E03A6"/>
    <w:rsid w:val="007E18FB"/>
    <w:rsid w:val="007E1A7D"/>
    <w:rsid w:val="007E1EE6"/>
    <w:rsid w:val="007E230E"/>
    <w:rsid w:val="007E2826"/>
    <w:rsid w:val="007E29F9"/>
    <w:rsid w:val="007E3748"/>
    <w:rsid w:val="007E3C37"/>
    <w:rsid w:val="007E3E4D"/>
    <w:rsid w:val="007E6224"/>
    <w:rsid w:val="007E627D"/>
    <w:rsid w:val="007E65DF"/>
    <w:rsid w:val="007E6850"/>
    <w:rsid w:val="007E685B"/>
    <w:rsid w:val="007E6E51"/>
    <w:rsid w:val="007E7F66"/>
    <w:rsid w:val="007F1282"/>
    <w:rsid w:val="007F1F4A"/>
    <w:rsid w:val="007F1FCE"/>
    <w:rsid w:val="007F2050"/>
    <w:rsid w:val="007F230C"/>
    <w:rsid w:val="007F2641"/>
    <w:rsid w:val="007F4A09"/>
    <w:rsid w:val="007F4E93"/>
    <w:rsid w:val="007F7BA8"/>
    <w:rsid w:val="00800F82"/>
    <w:rsid w:val="00801A0D"/>
    <w:rsid w:val="00803F98"/>
    <w:rsid w:val="008042B4"/>
    <w:rsid w:val="008057E4"/>
    <w:rsid w:val="00805A08"/>
    <w:rsid w:val="00805E1C"/>
    <w:rsid w:val="00806397"/>
    <w:rsid w:val="0080700F"/>
    <w:rsid w:val="008077AA"/>
    <w:rsid w:val="0081002D"/>
    <w:rsid w:val="00810528"/>
    <w:rsid w:val="00810582"/>
    <w:rsid w:val="00810A29"/>
    <w:rsid w:val="00810E86"/>
    <w:rsid w:val="0081120E"/>
    <w:rsid w:val="00811418"/>
    <w:rsid w:val="008117A7"/>
    <w:rsid w:val="00811D6E"/>
    <w:rsid w:val="00812181"/>
    <w:rsid w:val="008125CA"/>
    <w:rsid w:val="00812A58"/>
    <w:rsid w:val="0081311F"/>
    <w:rsid w:val="008138B0"/>
    <w:rsid w:val="008139F3"/>
    <w:rsid w:val="00813A1E"/>
    <w:rsid w:val="0081479A"/>
    <w:rsid w:val="008150E3"/>
    <w:rsid w:val="00816029"/>
    <w:rsid w:val="008160B1"/>
    <w:rsid w:val="00816418"/>
    <w:rsid w:val="008165DD"/>
    <w:rsid w:val="00816AF1"/>
    <w:rsid w:val="00816B58"/>
    <w:rsid w:val="0081739B"/>
    <w:rsid w:val="008173FE"/>
    <w:rsid w:val="008175A8"/>
    <w:rsid w:val="00817875"/>
    <w:rsid w:val="008178CA"/>
    <w:rsid w:val="008207B2"/>
    <w:rsid w:val="00820927"/>
    <w:rsid w:val="00822006"/>
    <w:rsid w:val="00822F48"/>
    <w:rsid w:val="008238DE"/>
    <w:rsid w:val="00823FD2"/>
    <w:rsid w:val="00824B34"/>
    <w:rsid w:val="0082536E"/>
    <w:rsid w:val="00825A73"/>
    <w:rsid w:val="00825A78"/>
    <w:rsid w:val="00826348"/>
    <w:rsid w:val="00826784"/>
    <w:rsid w:val="008268AE"/>
    <w:rsid w:val="0082776A"/>
    <w:rsid w:val="00827EE7"/>
    <w:rsid w:val="0083021A"/>
    <w:rsid w:val="0083039C"/>
    <w:rsid w:val="0083047C"/>
    <w:rsid w:val="0083085F"/>
    <w:rsid w:val="00830B15"/>
    <w:rsid w:val="00830C1C"/>
    <w:rsid w:val="0083113F"/>
    <w:rsid w:val="00831882"/>
    <w:rsid w:val="008326BD"/>
    <w:rsid w:val="0083343B"/>
    <w:rsid w:val="00833950"/>
    <w:rsid w:val="00833D22"/>
    <w:rsid w:val="00834865"/>
    <w:rsid w:val="0083515F"/>
    <w:rsid w:val="008352C7"/>
    <w:rsid w:val="0083560B"/>
    <w:rsid w:val="00836082"/>
    <w:rsid w:val="008362CF"/>
    <w:rsid w:val="00836D72"/>
    <w:rsid w:val="0083786C"/>
    <w:rsid w:val="008410BE"/>
    <w:rsid w:val="008410FB"/>
    <w:rsid w:val="008411A9"/>
    <w:rsid w:val="008414EF"/>
    <w:rsid w:val="0084277E"/>
    <w:rsid w:val="00842E69"/>
    <w:rsid w:val="00843185"/>
    <w:rsid w:val="0084408B"/>
    <w:rsid w:val="00844455"/>
    <w:rsid w:val="008445CA"/>
    <w:rsid w:val="00844814"/>
    <w:rsid w:val="00844BC5"/>
    <w:rsid w:val="00844BF4"/>
    <w:rsid w:val="00844EC4"/>
    <w:rsid w:val="00844F02"/>
    <w:rsid w:val="00845634"/>
    <w:rsid w:val="00845F49"/>
    <w:rsid w:val="008467E3"/>
    <w:rsid w:val="00846A20"/>
    <w:rsid w:val="008471D0"/>
    <w:rsid w:val="008472FD"/>
    <w:rsid w:val="00847DFF"/>
    <w:rsid w:val="00847EB9"/>
    <w:rsid w:val="0085009C"/>
    <w:rsid w:val="00850F09"/>
    <w:rsid w:val="008510C6"/>
    <w:rsid w:val="0085175A"/>
    <w:rsid w:val="00851823"/>
    <w:rsid w:val="008522BF"/>
    <w:rsid w:val="008524DF"/>
    <w:rsid w:val="008533EB"/>
    <w:rsid w:val="008538A9"/>
    <w:rsid w:val="0085482D"/>
    <w:rsid w:val="008550C0"/>
    <w:rsid w:val="0085577A"/>
    <w:rsid w:val="00855ED5"/>
    <w:rsid w:val="008563FB"/>
    <w:rsid w:val="00856A3A"/>
    <w:rsid w:val="00857874"/>
    <w:rsid w:val="00860FC4"/>
    <w:rsid w:val="008615BD"/>
    <w:rsid w:val="00861798"/>
    <w:rsid w:val="00861985"/>
    <w:rsid w:val="00862373"/>
    <w:rsid w:val="00862BE6"/>
    <w:rsid w:val="00863C8F"/>
    <w:rsid w:val="00864012"/>
    <w:rsid w:val="00865013"/>
    <w:rsid w:val="00866100"/>
    <w:rsid w:val="0086651B"/>
    <w:rsid w:val="00866EE2"/>
    <w:rsid w:val="00867FF9"/>
    <w:rsid w:val="00870196"/>
    <w:rsid w:val="00870695"/>
    <w:rsid w:val="00870762"/>
    <w:rsid w:val="008708F9"/>
    <w:rsid w:val="008709CB"/>
    <w:rsid w:val="0087130E"/>
    <w:rsid w:val="00871530"/>
    <w:rsid w:val="008715F0"/>
    <w:rsid w:val="00871761"/>
    <w:rsid w:val="00872305"/>
    <w:rsid w:val="008723B9"/>
    <w:rsid w:val="008726E9"/>
    <w:rsid w:val="00872DEC"/>
    <w:rsid w:val="00872FBE"/>
    <w:rsid w:val="008730F5"/>
    <w:rsid w:val="00873217"/>
    <w:rsid w:val="00873FE7"/>
    <w:rsid w:val="008742D6"/>
    <w:rsid w:val="00874EFE"/>
    <w:rsid w:val="0087573A"/>
    <w:rsid w:val="00876031"/>
    <w:rsid w:val="00876733"/>
    <w:rsid w:val="00876EE6"/>
    <w:rsid w:val="008807DB"/>
    <w:rsid w:val="008812E4"/>
    <w:rsid w:val="008817AC"/>
    <w:rsid w:val="00881BB2"/>
    <w:rsid w:val="00881E34"/>
    <w:rsid w:val="00881EE6"/>
    <w:rsid w:val="00881EF8"/>
    <w:rsid w:val="008820B2"/>
    <w:rsid w:val="00882184"/>
    <w:rsid w:val="008829D2"/>
    <w:rsid w:val="00882BC2"/>
    <w:rsid w:val="00882F9B"/>
    <w:rsid w:val="00882FB6"/>
    <w:rsid w:val="00883591"/>
    <w:rsid w:val="008835F7"/>
    <w:rsid w:val="00883C72"/>
    <w:rsid w:val="00883DCA"/>
    <w:rsid w:val="00884E93"/>
    <w:rsid w:val="00885CC8"/>
    <w:rsid w:val="008873FC"/>
    <w:rsid w:val="00887A5F"/>
    <w:rsid w:val="00887DF5"/>
    <w:rsid w:val="00890390"/>
    <w:rsid w:val="00891316"/>
    <w:rsid w:val="008919C6"/>
    <w:rsid w:val="00891AD2"/>
    <w:rsid w:val="00892229"/>
    <w:rsid w:val="0089283F"/>
    <w:rsid w:val="00892C7F"/>
    <w:rsid w:val="0089315E"/>
    <w:rsid w:val="008938BE"/>
    <w:rsid w:val="00894914"/>
    <w:rsid w:val="00894E8D"/>
    <w:rsid w:val="00894F8B"/>
    <w:rsid w:val="00895A67"/>
    <w:rsid w:val="00896286"/>
    <w:rsid w:val="00896516"/>
    <w:rsid w:val="0089666F"/>
    <w:rsid w:val="008A01FF"/>
    <w:rsid w:val="008A1A44"/>
    <w:rsid w:val="008A1B63"/>
    <w:rsid w:val="008A3C09"/>
    <w:rsid w:val="008A3D5B"/>
    <w:rsid w:val="008A4287"/>
    <w:rsid w:val="008A4C5C"/>
    <w:rsid w:val="008A4D95"/>
    <w:rsid w:val="008A525A"/>
    <w:rsid w:val="008A532F"/>
    <w:rsid w:val="008A567A"/>
    <w:rsid w:val="008A5DA6"/>
    <w:rsid w:val="008A6B65"/>
    <w:rsid w:val="008A7707"/>
    <w:rsid w:val="008A7E6E"/>
    <w:rsid w:val="008A7F85"/>
    <w:rsid w:val="008B005F"/>
    <w:rsid w:val="008B0A04"/>
    <w:rsid w:val="008B13C0"/>
    <w:rsid w:val="008B1879"/>
    <w:rsid w:val="008B189C"/>
    <w:rsid w:val="008B3885"/>
    <w:rsid w:val="008B41F0"/>
    <w:rsid w:val="008B479A"/>
    <w:rsid w:val="008B47A1"/>
    <w:rsid w:val="008B4EA9"/>
    <w:rsid w:val="008B74C9"/>
    <w:rsid w:val="008B7F1C"/>
    <w:rsid w:val="008C0961"/>
    <w:rsid w:val="008C0B70"/>
    <w:rsid w:val="008C0BBC"/>
    <w:rsid w:val="008C12CE"/>
    <w:rsid w:val="008C13CB"/>
    <w:rsid w:val="008C151A"/>
    <w:rsid w:val="008C267B"/>
    <w:rsid w:val="008C2A9C"/>
    <w:rsid w:val="008C3677"/>
    <w:rsid w:val="008C36EA"/>
    <w:rsid w:val="008C4196"/>
    <w:rsid w:val="008C477D"/>
    <w:rsid w:val="008C736F"/>
    <w:rsid w:val="008C76D7"/>
    <w:rsid w:val="008C797D"/>
    <w:rsid w:val="008C7ADA"/>
    <w:rsid w:val="008D07DD"/>
    <w:rsid w:val="008D239D"/>
    <w:rsid w:val="008D2A46"/>
    <w:rsid w:val="008D2F13"/>
    <w:rsid w:val="008D30CC"/>
    <w:rsid w:val="008D34A0"/>
    <w:rsid w:val="008D490D"/>
    <w:rsid w:val="008D4F51"/>
    <w:rsid w:val="008D4FA2"/>
    <w:rsid w:val="008D5AA4"/>
    <w:rsid w:val="008D70F8"/>
    <w:rsid w:val="008D7137"/>
    <w:rsid w:val="008E08C1"/>
    <w:rsid w:val="008E0E07"/>
    <w:rsid w:val="008E12E5"/>
    <w:rsid w:val="008E13AC"/>
    <w:rsid w:val="008E2012"/>
    <w:rsid w:val="008E301A"/>
    <w:rsid w:val="008E386C"/>
    <w:rsid w:val="008E5341"/>
    <w:rsid w:val="008E5346"/>
    <w:rsid w:val="008E5685"/>
    <w:rsid w:val="008E6297"/>
    <w:rsid w:val="008E6738"/>
    <w:rsid w:val="008E7D71"/>
    <w:rsid w:val="008F0A23"/>
    <w:rsid w:val="008F19DF"/>
    <w:rsid w:val="008F1A11"/>
    <w:rsid w:val="008F228E"/>
    <w:rsid w:val="008F2AA9"/>
    <w:rsid w:val="008F494C"/>
    <w:rsid w:val="008F4ECD"/>
    <w:rsid w:val="008F505B"/>
    <w:rsid w:val="008F74EF"/>
    <w:rsid w:val="008F7658"/>
    <w:rsid w:val="008F7880"/>
    <w:rsid w:val="008F7BFE"/>
    <w:rsid w:val="009002FF"/>
    <w:rsid w:val="00900919"/>
    <w:rsid w:val="00900947"/>
    <w:rsid w:val="009009AB"/>
    <w:rsid w:val="00900E0C"/>
    <w:rsid w:val="009020EC"/>
    <w:rsid w:val="00903CC3"/>
    <w:rsid w:val="00903EE9"/>
    <w:rsid w:val="009047DC"/>
    <w:rsid w:val="009050EC"/>
    <w:rsid w:val="00905140"/>
    <w:rsid w:val="009058F8"/>
    <w:rsid w:val="00906DD5"/>
    <w:rsid w:val="00907D8B"/>
    <w:rsid w:val="00911462"/>
    <w:rsid w:val="00911716"/>
    <w:rsid w:val="009117B2"/>
    <w:rsid w:val="00911877"/>
    <w:rsid w:val="0091191F"/>
    <w:rsid w:val="00912596"/>
    <w:rsid w:val="00912838"/>
    <w:rsid w:val="00912E78"/>
    <w:rsid w:val="0091358D"/>
    <w:rsid w:val="009138F2"/>
    <w:rsid w:val="00913A44"/>
    <w:rsid w:val="00913FF7"/>
    <w:rsid w:val="009142B5"/>
    <w:rsid w:val="00914414"/>
    <w:rsid w:val="00914C98"/>
    <w:rsid w:val="0091566F"/>
    <w:rsid w:val="00915957"/>
    <w:rsid w:val="0091598F"/>
    <w:rsid w:val="00915BFF"/>
    <w:rsid w:val="00916B7B"/>
    <w:rsid w:val="009174D5"/>
    <w:rsid w:val="00917C03"/>
    <w:rsid w:val="0092024A"/>
    <w:rsid w:val="00920631"/>
    <w:rsid w:val="009206A9"/>
    <w:rsid w:val="009209B4"/>
    <w:rsid w:val="00920E30"/>
    <w:rsid w:val="00921856"/>
    <w:rsid w:val="00921C5D"/>
    <w:rsid w:val="00921FFE"/>
    <w:rsid w:val="00922E4C"/>
    <w:rsid w:val="009231FE"/>
    <w:rsid w:val="009236DB"/>
    <w:rsid w:val="00923B50"/>
    <w:rsid w:val="00924CE5"/>
    <w:rsid w:val="00925456"/>
    <w:rsid w:val="00925482"/>
    <w:rsid w:val="0092630D"/>
    <w:rsid w:val="0092632B"/>
    <w:rsid w:val="0092635E"/>
    <w:rsid w:val="009270DA"/>
    <w:rsid w:val="0092739B"/>
    <w:rsid w:val="00927629"/>
    <w:rsid w:val="00927B2A"/>
    <w:rsid w:val="0093080B"/>
    <w:rsid w:val="00931E49"/>
    <w:rsid w:val="009339BE"/>
    <w:rsid w:val="00934AFD"/>
    <w:rsid w:val="00934B9C"/>
    <w:rsid w:val="00934D40"/>
    <w:rsid w:val="009350D8"/>
    <w:rsid w:val="009351DB"/>
    <w:rsid w:val="00935784"/>
    <w:rsid w:val="009358B5"/>
    <w:rsid w:val="00935B86"/>
    <w:rsid w:val="00935D03"/>
    <w:rsid w:val="00935E2B"/>
    <w:rsid w:val="00936456"/>
    <w:rsid w:val="00936568"/>
    <w:rsid w:val="00936B20"/>
    <w:rsid w:val="00936E72"/>
    <w:rsid w:val="00937317"/>
    <w:rsid w:val="00937519"/>
    <w:rsid w:val="0093758C"/>
    <w:rsid w:val="00940339"/>
    <w:rsid w:val="0094053C"/>
    <w:rsid w:val="00940BF1"/>
    <w:rsid w:val="00941464"/>
    <w:rsid w:val="009414D8"/>
    <w:rsid w:val="00941B56"/>
    <w:rsid w:val="00941B9A"/>
    <w:rsid w:val="0094230A"/>
    <w:rsid w:val="00942BA0"/>
    <w:rsid w:val="00942D45"/>
    <w:rsid w:val="0094409C"/>
    <w:rsid w:val="0094522A"/>
    <w:rsid w:val="00945A6E"/>
    <w:rsid w:val="00946581"/>
    <w:rsid w:val="00946E0E"/>
    <w:rsid w:val="00947D90"/>
    <w:rsid w:val="00947EB3"/>
    <w:rsid w:val="00950881"/>
    <w:rsid w:val="00950C1A"/>
    <w:rsid w:val="009511E2"/>
    <w:rsid w:val="0095200F"/>
    <w:rsid w:val="00952771"/>
    <w:rsid w:val="00952B30"/>
    <w:rsid w:val="009544F8"/>
    <w:rsid w:val="0095484E"/>
    <w:rsid w:val="00954E4A"/>
    <w:rsid w:val="0095553D"/>
    <w:rsid w:val="00955DED"/>
    <w:rsid w:val="00956B57"/>
    <w:rsid w:val="00956C21"/>
    <w:rsid w:val="009574E2"/>
    <w:rsid w:val="0095751B"/>
    <w:rsid w:val="00957B3A"/>
    <w:rsid w:val="009607CB"/>
    <w:rsid w:val="00960C1C"/>
    <w:rsid w:val="00960FD4"/>
    <w:rsid w:val="0096190E"/>
    <w:rsid w:val="00962036"/>
    <w:rsid w:val="00962AC9"/>
    <w:rsid w:val="00962DB4"/>
    <w:rsid w:val="00962EDA"/>
    <w:rsid w:val="009637FA"/>
    <w:rsid w:val="00963D1A"/>
    <w:rsid w:val="0096487B"/>
    <w:rsid w:val="009659B0"/>
    <w:rsid w:val="00970322"/>
    <w:rsid w:val="0097058D"/>
    <w:rsid w:val="00970B98"/>
    <w:rsid w:val="0097265D"/>
    <w:rsid w:val="00972BC4"/>
    <w:rsid w:val="00973136"/>
    <w:rsid w:val="0097326D"/>
    <w:rsid w:val="0097381D"/>
    <w:rsid w:val="00973EAF"/>
    <w:rsid w:val="00974027"/>
    <w:rsid w:val="00975094"/>
    <w:rsid w:val="00975452"/>
    <w:rsid w:val="009759DA"/>
    <w:rsid w:val="0097687D"/>
    <w:rsid w:val="00976D3E"/>
    <w:rsid w:val="00977484"/>
    <w:rsid w:val="00977916"/>
    <w:rsid w:val="00977BE1"/>
    <w:rsid w:val="00977F47"/>
    <w:rsid w:val="00980745"/>
    <w:rsid w:val="009811D1"/>
    <w:rsid w:val="009811F1"/>
    <w:rsid w:val="00981348"/>
    <w:rsid w:val="00981CCA"/>
    <w:rsid w:val="00981FCD"/>
    <w:rsid w:val="00982452"/>
    <w:rsid w:val="0098363C"/>
    <w:rsid w:val="009844B7"/>
    <w:rsid w:val="0098456C"/>
    <w:rsid w:val="00984CC2"/>
    <w:rsid w:val="00985A80"/>
    <w:rsid w:val="0098727F"/>
    <w:rsid w:val="00987631"/>
    <w:rsid w:val="00987B16"/>
    <w:rsid w:val="00987C26"/>
    <w:rsid w:val="00987C90"/>
    <w:rsid w:val="00990853"/>
    <w:rsid w:val="00990F2C"/>
    <w:rsid w:val="009918E4"/>
    <w:rsid w:val="00992564"/>
    <w:rsid w:val="00992741"/>
    <w:rsid w:val="009927FB"/>
    <w:rsid w:val="00994326"/>
    <w:rsid w:val="00994D88"/>
    <w:rsid w:val="009958A8"/>
    <w:rsid w:val="009958DE"/>
    <w:rsid w:val="00995A93"/>
    <w:rsid w:val="00997351"/>
    <w:rsid w:val="009973D2"/>
    <w:rsid w:val="009977F0"/>
    <w:rsid w:val="00997808"/>
    <w:rsid w:val="009A0F2B"/>
    <w:rsid w:val="009A1911"/>
    <w:rsid w:val="009A1EE6"/>
    <w:rsid w:val="009A2228"/>
    <w:rsid w:val="009A2570"/>
    <w:rsid w:val="009A2AD5"/>
    <w:rsid w:val="009A2AD8"/>
    <w:rsid w:val="009A31BD"/>
    <w:rsid w:val="009A4321"/>
    <w:rsid w:val="009A4342"/>
    <w:rsid w:val="009A4551"/>
    <w:rsid w:val="009A49F7"/>
    <w:rsid w:val="009A4B84"/>
    <w:rsid w:val="009A5AEA"/>
    <w:rsid w:val="009A5E7B"/>
    <w:rsid w:val="009A6430"/>
    <w:rsid w:val="009A6F2C"/>
    <w:rsid w:val="009A6FE1"/>
    <w:rsid w:val="009A772B"/>
    <w:rsid w:val="009A7A7C"/>
    <w:rsid w:val="009A7CE4"/>
    <w:rsid w:val="009B055A"/>
    <w:rsid w:val="009B0B78"/>
    <w:rsid w:val="009B0E2F"/>
    <w:rsid w:val="009B129A"/>
    <w:rsid w:val="009B1423"/>
    <w:rsid w:val="009B15C7"/>
    <w:rsid w:val="009B1A1A"/>
    <w:rsid w:val="009B1F61"/>
    <w:rsid w:val="009B2053"/>
    <w:rsid w:val="009B26C7"/>
    <w:rsid w:val="009B271D"/>
    <w:rsid w:val="009B2855"/>
    <w:rsid w:val="009B300B"/>
    <w:rsid w:val="009B311C"/>
    <w:rsid w:val="009B338D"/>
    <w:rsid w:val="009B3433"/>
    <w:rsid w:val="009B3C0D"/>
    <w:rsid w:val="009B3CE8"/>
    <w:rsid w:val="009B47AE"/>
    <w:rsid w:val="009B4BCD"/>
    <w:rsid w:val="009B59E7"/>
    <w:rsid w:val="009B5EF2"/>
    <w:rsid w:val="009B6398"/>
    <w:rsid w:val="009B70C8"/>
    <w:rsid w:val="009B7A40"/>
    <w:rsid w:val="009C0462"/>
    <w:rsid w:val="009C097B"/>
    <w:rsid w:val="009C09E7"/>
    <w:rsid w:val="009C0EE9"/>
    <w:rsid w:val="009C1071"/>
    <w:rsid w:val="009C1115"/>
    <w:rsid w:val="009C1E1B"/>
    <w:rsid w:val="009C20B9"/>
    <w:rsid w:val="009C260F"/>
    <w:rsid w:val="009C2BFC"/>
    <w:rsid w:val="009C2C58"/>
    <w:rsid w:val="009C358B"/>
    <w:rsid w:val="009C3754"/>
    <w:rsid w:val="009C3FA7"/>
    <w:rsid w:val="009C456D"/>
    <w:rsid w:val="009C6132"/>
    <w:rsid w:val="009C6B21"/>
    <w:rsid w:val="009C733F"/>
    <w:rsid w:val="009C7E8F"/>
    <w:rsid w:val="009D0BA8"/>
    <w:rsid w:val="009D11B4"/>
    <w:rsid w:val="009D1742"/>
    <w:rsid w:val="009D23AC"/>
    <w:rsid w:val="009D262F"/>
    <w:rsid w:val="009D2EF4"/>
    <w:rsid w:val="009D3153"/>
    <w:rsid w:val="009D320F"/>
    <w:rsid w:val="009D370E"/>
    <w:rsid w:val="009D3AE9"/>
    <w:rsid w:val="009D3F2F"/>
    <w:rsid w:val="009D4014"/>
    <w:rsid w:val="009D42B2"/>
    <w:rsid w:val="009D4B37"/>
    <w:rsid w:val="009D5FF7"/>
    <w:rsid w:val="009D65AB"/>
    <w:rsid w:val="009D6993"/>
    <w:rsid w:val="009D6C1B"/>
    <w:rsid w:val="009D73BE"/>
    <w:rsid w:val="009D76E6"/>
    <w:rsid w:val="009E0EB4"/>
    <w:rsid w:val="009E1271"/>
    <w:rsid w:val="009E1C23"/>
    <w:rsid w:val="009E2978"/>
    <w:rsid w:val="009E2B36"/>
    <w:rsid w:val="009E3403"/>
    <w:rsid w:val="009E4488"/>
    <w:rsid w:val="009E4F39"/>
    <w:rsid w:val="009E562F"/>
    <w:rsid w:val="009E5739"/>
    <w:rsid w:val="009E5DA4"/>
    <w:rsid w:val="009E6B58"/>
    <w:rsid w:val="009E6E3C"/>
    <w:rsid w:val="009E72CF"/>
    <w:rsid w:val="009E7522"/>
    <w:rsid w:val="009E7A5F"/>
    <w:rsid w:val="009F02DC"/>
    <w:rsid w:val="009F0A39"/>
    <w:rsid w:val="009F148B"/>
    <w:rsid w:val="009F175B"/>
    <w:rsid w:val="009F2BB5"/>
    <w:rsid w:val="009F3A41"/>
    <w:rsid w:val="009F3ECA"/>
    <w:rsid w:val="009F415D"/>
    <w:rsid w:val="009F420D"/>
    <w:rsid w:val="009F441A"/>
    <w:rsid w:val="009F5BA4"/>
    <w:rsid w:val="009F5E95"/>
    <w:rsid w:val="009F6631"/>
    <w:rsid w:val="009F7914"/>
    <w:rsid w:val="00A00332"/>
    <w:rsid w:val="00A00BF1"/>
    <w:rsid w:val="00A00E75"/>
    <w:rsid w:val="00A0123B"/>
    <w:rsid w:val="00A01408"/>
    <w:rsid w:val="00A01D9B"/>
    <w:rsid w:val="00A01F8C"/>
    <w:rsid w:val="00A029FE"/>
    <w:rsid w:val="00A03904"/>
    <w:rsid w:val="00A0418E"/>
    <w:rsid w:val="00A0463E"/>
    <w:rsid w:val="00A048E5"/>
    <w:rsid w:val="00A05AA8"/>
    <w:rsid w:val="00A05BFF"/>
    <w:rsid w:val="00A05C3A"/>
    <w:rsid w:val="00A05D20"/>
    <w:rsid w:val="00A060CC"/>
    <w:rsid w:val="00A06794"/>
    <w:rsid w:val="00A06A5C"/>
    <w:rsid w:val="00A07277"/>
    <w:rsid w:val="00A07CEC"/>
    <w:rsid w:val="00A10389"/>
    <w:rsid w:val="00A1042A"/>
    <w:rsid w:val="00A10BA3"/>
    <w:rsid w:val="00A1139D"/>
    <w:rsid w:val="00A11FE6"/>
    <w:rsid w:val="00A12D30"/>
    <w:rsid w:val="00A13A31"/>
    <w:rsid w:val="00A1405E"/>
    <w:rsid w:val="00A14CE7"/>
    <w:rsid w:val="00A14E2F"/>
    <w:rsid w:val="00A14FC4"/>
    <w:rsid w:val="00A153D9"/>
    <w:rsid w:val="00A1688D"/>
    <w:rsid w:val="00A1690D"/>
    <w:rsid w:val="00A16A1B"/>
    <w:rsid w:val="00A177E7"/>
    <w:rsid w:val="00A17890"/>
    <w:rsid w:val="00A17B90"/>
    <w:rsid w:val="00A20111"/>
    <w:rsid w:val="00A219FF"/>
    <w:rsid w:val="00A22382"/>
    <w:rsid w:val="00A22747"/>
    <w:rsid w:val="00A23A73"/>
    <w:rsid w:val="00A23BE4"/>
    <w:rsid w:val="00A247A8"/>
    <w:rsid w:val="00A24B8B"/>
    <w:rsid w:val="00A257B7"/>
    <w:rsid w:val="00A2587D"/>
    <w:rsid w:val="00A25E10"/>
    <w:rsid w:val="00A26547"/>
    <w:rsid w:val="00A26649"/>
    <w:rsid w:val="00A27A05"/>
    <w:rsid w:val="00A300B7"/>
    <w:rsid w:val="00A30465"/>
    <w:rsid w:val="00A30D58"/>
    <w:rsid w:val="00A31190"/>
    <w:rsid w:val="00A31999"/>
    <w:rsid w:val="00A32F85"/>
    <w:rsid w:val="00A33B64"/>
    <w:rsid w:val="00A33EB8"/>
    <w:rsid w:val="00A347F3"/>
    <w:rsid w:val="00A34BA6"/>
    <w:rsid w:val="00A3559E"/>
    <w:rsid w:val="00A35A00"/>
    <w:rsid w:val="00A35B6A"/>
    <w:rsid w:val="00A37997"/>
    <w:rsid w:val="00A37BE4"/>
    <w:rsid w:val="00A40704"/>
    <w:rsid w:val="00A418EC"/>
    <w:rsid w:val="00A42919"/>
    <w:rsid w:val="00A42BBE"/>
    <w:rsid w:val="00A42C86"/>
    <w:rsid w:val="00A42D6E"/>
    <w:rsid w:val="00A42E75"/>
    <w:rsid w:val="00A430F5"/>
    <w:rsid w:val="00A4317C"/>
    <w:rsid w:val="00A4329B"/>
    <w:rsid w:val="00A4335F"/>
    <w:rsid w:val="00A44074"/>
    <w:rsid w:val="00A441F1"/>
    <w:rsid w:val="00A44C5F"/>
    <w:rsid w:val="00A45B1E"/>
    <w:rsid w:val="00A46F74"/>
    <w:rsid w:val="00A47680"/>
    <w:rsid w:val="00A479A3"/>
    <w:rsid w:val="00A5052C"/>
    <w:rsid w:val="00A51283"/>
    <w:rsid w:val="00A51BBD"/>
    <w:rsid w:val="00A5203B"/>
    <w:rsid w:val="00A52B83"/>
    <w:rsid w:val="00A52DB7"/>
    <w:rsid w:val="00A53F52"/>
    <w:rsid w:val="00A54707"/>
    <w:rsid w:val="00A54A43"/>
    <w:rsid w:val="00A56100"/>
    <w:rsid w:val="00A561CF"/>
    <w:rsid w:val="00A56369"/>
    <w:rsid w:val="00A563F6"/>
    <w:rsid w:val="00A57618"/>
    <w:rsid w:val="00A60027"/>
    <w:rsid w:val="00A602DA"/>
    <w:rsid w:val="00A604E0"/>
    <w:rsid w:val="00A6235D"/>
    <w:rsid w:val="00A62D38"/>
    <w:rsid w:val="00A63083"/>
    <w:rsid w:val="00A6364B"/>
    <w:rsid w:val="00A63790"/>
    <w:rsid w:val="00A63D37"/>
    <w:rsid w:val="00A65E62"/>
    <w:rsid w:val="00A67058"/>
    <w:rsid w:val="00A6711C"/>
    <w:rsid w:val="00A671D5"/>
    <w:rsid w:val="00A6725F"/>
    <w:rsid w:val="00A67326"/>
    <w:rsid w:val="00A70130"/>
    <w:rsid w:val="00A71BE5"/>
    <w:rsid w:val="00A71F3F"/>
    <w:rsid w:val="00A725BE"/>
    <w:rsid w:val="00A7283F"/>
    <w:rsid w:val="00A731D5"/>
    <w:rsid w:val="00A73588"/>
    <w:rsid w:val="00A73BA1"/>
    <w:rsid w:val="00A73C2F"/>
    <w:rsid w:val="00A73E53"/>
    <w:rsid w:val="00A748B7"/>
    <w:rsid w:val="00A756BB"/>
    <w:rsid w:val="00A75AFA"/>
    <w:rsid w:val="00A75B59"/>
    <w:rsid w:val="00A75E32"/>
    <w:rsid w:val="00A7628C"/>
    <w:rsid w:val="00A76290"/>
    <w:rsid w:val="00A77D80"/>
    <w:rsid w:val="00A80436"/>
    <w:rsid w:val="00A80869"/>
    <w:rsid w:val="00A82401"/>
    <w:rsid w:val="00A829E6"/>
    <w:rsid w:val="00A8330D"/>
    <w:rsid w:val="00A837E6"/>
    <w:rsid w:val="00A83FED"/>
    <w:rsid w:val="00A85903"/>
    <w:rsid w:val="00A85A61"/>
    <w:rsid w:val="00A86751"/>
    <w:rsid w:val="00A87729"/>
    <w:rsid w:val="00A87BB3"/>
    <w:rsid w:val="00A904E3"/>
    <w:rsid w:val="00A909DE"/>
    <w:rsid w:val="00A91EA1"/>
    <w:rsid w:val="00A922BB"/>
    <w:rsid w:val="00A923D6"/>
    <w:rsid w:val="00A925D6"/>
    <w:rsid w:val="00A93620"/>
    <w:rsid w:val="00A939E6"/>
    <w:rsid w:val="00A93FB4"/>
    <w:rsid w:val="00A94197"/>
    <w:rsid w:val="00A943FB"/>
    <w:rsid w:val="00A9689B"/>
    <w:rsid w:val="00A9742F"/>
    <w:rsid w:val="00AA00BD"/>
    <w:rsid w:val="00AA0400"/>
    <w:rsid w:val="00AA0B6D"/>
    <w:rsid w:val="00AA17B0"/>
    <w:rsid w:val="00AA1AB8"/>
    <w:rsid w:val="00AA1AE4"/>
    <w:rsid w:val="00AA1B18"/>
    <w:rsid w:val="00AA1D58"/>
    <w:rsid w:val="00AA1E00"/>
    <w:rsid w:val="00AA1F53"/>
    <w:rsid w:val="00AA31DF"/>
    <w:rsid w:val="00AA36B0"/>
    <w:rsid w:val="00AA3717"/>
    <w:rsid w:val="00AA424B"/>
    <w:rsid w:val="00AA4407"/>
    <w:rsid w:val="00AA4F2F"/>
    <w:rsid w:val="00AA53F7"/>
    <w:rsid w:val="00AA6DF3"/>
    <w:rsid w:val="00AA6EF1"/>
    <w:rsid w:val="00AA758B"/>
    <w:rsid w:val="00AA7D5D"/>
    <w:rsid w:val="00AB0497"/>
    <w:rsid w:val="00AB04F3"/>
    <w:rsid w:val="00AB0B98"/>
    <w:rsid w:val="00AB0D61"/>
    <w:rsid w:val="00AB18AC"/>
    <w:rsid w:val="00AB22D7"/>
    <w:rsid w:val="00AB23A4"/>
    <w:rsid w:val="00AB2622"/>
    <w:rsid w:val="00AB2A46"/>
    <w:rsid w:val="00AB36AF"/>
    <w:rsid w:val="00AB3903"/>
    <w:rsid w:val="00AB533D"/>
    <w:rsid w:val="00AB623A"/>
    <w:rsid w:val="00AB7650"/>
    <w:rsid w:val="00AB7660"/>
    <w:rsid w:val="00AB775D"/>
    <w:rsid w:val="00AB77B4"/>
    <w:rsid w:val="00AB786F"/>
    <w:rsid w:val="00AB7978"/>
    <w:rsid w:val="00AC0BF7"/>
    <w:rsid w:val="00AC146E"/>
    <w:rsid w:val="00AC1DD3"/>
    <w:rsid w:val="00AC2385"/>
    <w:rsid w:val="00AC337F"/>
    <w:rsid w:val="00AC39CE"/>
    <w:rsid w:val="00AC3D80"/>
    <w:rsid w:val="00AC51DE"/>
    <w:rsid w:val="00AC573B"/>
    <w:rsid w:val="00AC5A00"/>
    <w:rsid w:val="00AC5B5A"/>
    <w:rsid w:val="00AC628D"/>
    <w:rsid w:val="00AC660F"/>
    <w:rsid w:val="00AC725D"/>
    <w:rsid w:val="00AC743D"/>
    <w:rsid w:val="00AC785D"/>
    <w:rsid w:val="00AD026B"/>
    <w:rsid w:val="00AD0912"/>
    <w:rsid w:val="00AD095E"/>
    <w:rsid w:val="00AD1041"/>
    <w:rsid w:val="00AD104C"/>
    <w:rsid w:val="00AD1DE4"/>
    <w:rsid w:val="00AD27A6"/>
    <w:rsid w:val="00AD29E7"/>
    <w:rsid w:val="00AD2CF7"/>
    <w:rsid w:val="00AD4659"/>
    <w:rsid w:val="00AD59A9"/>
    <w:rsid w:val="00AD5EA7"/>
    <w:rsid w:val="00AD674A"/>
    <w:rsid w:val="00AD6A92"/>
    <w:rsid w:val="00AD7CF6"/>
    <w:rsid w:val="00AE0602"/>
    <w:rsid w:val="00AE12FE"/>
    <w:rsid w:val="00AE1A00"/>
    <w:rsid w:val="00AE21EF"/>
    <w:rsid w:val="00AE29F1"/>
    <w:rsid w:val="00AE2DEE"/>
    <w:rsid w:val="00AE33DD"/>
    <w:rsid w:val="00AE35E9"/>
    <w:rsid w:val="00AE40C8"/>
    <w:rsid w:val="00AE4888"/>
    <w:rsid w:val="00AE4E16"/>
    <w:rsid w:val="00AE504D"/>
    <w:rsid w:val="00AE5AD5"/>
    <w:rsid w:val="00AE672F"/>
    <w:rsid w:val="00AE68AC"/>
    <w:rsid w:val="00AE6A8F"/>
    <w:rsid w:val="00AE73C4"/>
    <w:rsid w:val="00AF0437"/>
    <w:rsid w:val="00AF08B2"/>
    <w:rsid w:val="00AF1217"/>
    <w:rsid w:val="00AF1B1B"/>
    <w:rsid w:val="00AF2056"/>
    <w:rsid w:val="00AF2670"/>
    <w:rsid w:val="00AF2BFD"/>
    <w:rsid w:val="00AF30FF"/>
    <w:rsid w:val="00AF33E5"/>
    <w:rsid w:val="00AF36E7"/>
    <w:rsid w:val="00AF3E28"/>
    <w:rsid w:val="00AF46CF"/>
    <w:rsid w:val="00AF59A0"/>
    <w:rsid w:val="00AF5CA0"/>
    <w:rsid w:val="00AF6224"/>
    <w:rsid w:val="00AF6E3B"/>
    <w:rsid w:val="00AF7693"/>
    <w:rsid w:val="00AF778F"/>
    <w:rsid w:val="00AF7C6E"/>
    <w:rsid w:val="00AF7CEB"/>
    <w:rsid w:val="00AF7FDE"/>
    <w:rsid w:val="00B00237"/>
    <w:rsid w:val="00B00442"/>
    <w:rsid w:val="00B00599"/>
    <w:rsid w:val="00B007B7"/>
    <w:rsid w:val="00B00EF3"/>
    <w:rsid w:val="00B00F54"/>
    <w:rsid w:val="00B015D5"/>
    <w:rsid w:val="00B01700"/>
    <w:rsid w:val="00B01706"/>
    <w:rsid w:val="00B01AA9"/>
    <w:rsid w:val="00B01EB9"/>
    <w:rsid w:val="00B0320A"/>
    <w:rsid w:val="00B0324F"/>
    <w:rsid w:val="00B03A1C"/>
    <w:rsid w:val="00B05461"/>
    <w:rsid w:val="00B0554E"/>
    <w:rsid w:val="00B05C02"/>
    <w:rsid w:val="00B05C60"/>
    <w:rsid w:val="00B06005"/>
    <w:rsid w:val="00B06539"/>
    <w:rsid w:val="00B06954"/>
    <w:rsid w:val="00B06CE4"/>
    <w:rsid w:val="00B07476"/>
    <w:rsid w:val="00B07886"/>
    <w:rsid w:val="00B07EC7"/>
    <w:rsid w:val="00B07ECA"/>
    <w:rsid w:val="00B10C54"/>
    <w:rsid w:val="00B10EE1"/>
    <w:rsid w:val="00B1127B"/>
    <w:rsid w:val="00B118F7"/>
    <w:rsid w:val="00B11D89"/>
    <w:rsid w:val="00B122C9"/>
    <w:rsid w:val="00B124C9"/>
    <w:rsid w:val="00B12C34"/>
    <w:rsid w:val="00B12F60"/>
    <w:rsid w:val="00B1472F"/>
    <w:rsid w:val="00B149FF"/>
    <w:rsid w:val="00B15638"/>
    <w:rsid w:val="00B16B1C"/>
    <w:rsid w:val="00B17965"/>
    <w:rsid w:val="00B2037E"/>
    <w:rsid w:val="00B20493"/>
    <w:rsid w:val="00B2050B"/>
    <w:rsid w:val="00B20E00"/>
    <w:rsid w:val="00B21184"/>
    <w:rsid w:val="00B216A7"/>
    <w:rsid w:val="00B21836"/>
    <w:rsid w:val="00B21B06"/>
    <w:rsid w:val="00B21D38"/>
    <w:rsid w:val="00B223DB"/>
    <w:rsid w:val="00B2270B"/>
    <w:rsid w:val="00B23AE7"/>
    <w:rsid w:val="00B23D20"/>
    <w:rsid w:val="00B24D94"/>
    <w:rsid w:val="00B265D8"/>
    <w:rsid w:val="00B268F0"/>
    <w:rsid w:val="00B27B89"/>
    <w:rsid w:val="00B3304F"/>
    <w:rsid w:val="00B33C3C"/>
    <w:rsid w:val="00B3483A"/>
    <w:rsid w:val="00B35037"/>
    <w:rsid w:val="00B36345"/>
    <w:rsid w:val="00B3772F"/>
    <w:rsid w:val="00B37994"/>
    <w:rsid w:val="00B414CD"/>
    <w:rsid w:val="00B41917"/>
    <w:rsid w:val="00B41CD5"/>
    <w:rsid w:val="00B43477"/>
    <w:rsid w:val="00B44201"/>
    <w:rsid w:val="00B44249"/>
    <w:rsid w:val="00B44A0B"/>
    <w:rsid w:val="00B4534A"/>
    <w:rsid w:val="00B4562C"/>
    <w:rsid w:val="00B4571B"/>
    <w:rsid w:val="00B457A0"/>
    <w:rsid w:val="00B4587A"/>
    <w:rsid w:val="00B459C8"/>
    <w:rsid w:val="00B46043"/>
    <w:rsid w:val="00B46E7A"/>
    <w:rsid w:val="00B474C9"/>
    <w:rsid w:val="00B47655"/>
    <w:rsid w:val="00B47A22"/>
    <w:rsid w:val="00B50092"/>
    <w:rsid w:val="00B505A2"/>
    <w:rsid w:val="00B50644"/>
    <w:rsid w:val="00B50CE4"/>
    <w:rsid w:val="00B51BF4"/>
    <w:rsid w:val="00B52D8C"/>
    <w:rsid w:val="00B530DA"/>
    <w:rsid w:val="00B532ED"/>
    <w:rsid w:val="00B534D4"/>
    <w:rsid w:val="00B53CB0"/>
    <w:rsid w:val="00B54246"/>
    <w:rsid w:val="00B545C6"/>
    <w:rsid w:val="00B57020"/>
    <w:rsid w:val="00B5703F"/>
    <w:rsid w:val="00B574B9"/>
    <w:rsid w:val="00B5751A"/>
    <w:rsid w:val="00B57593"/>
    <w:rsid w:val="00B57920"/>
    <w:rsid w:val="00B57AE1"/>
    <w:rsid w:val="00B57E61"/>
    <w:rsid w:val="00B60904"/>
    <w:rsid w:val="00B6099C"/>
    <w:rsid w:val="00B60C48"/>
    <w:rsid w:val="00B60F70"/>
    <w:rsid w:val="00B61059"/>
    <w:rsid w:val="00B61728"/>
    <w:rsid w:val="00B61A21"/>
    <w:rsid w:val="00B6239D"/>
    <w:rsid w:val="00B6260A"/>
    <w:rsid w:val="00B63105"/>
    <w:rsid w:val="00B644DD"/>
    <w:rsid w:val="00B644FA"/>
    <w:rsid w:val="00B649BA"/>
    <w:rsid w:val="00B65133"/>
    <w:rsid w:val="00B65DA6"/>
    <w:rsid w:val="00B66611"/>
    <w:rsid w:val="00B70223"/>
    <w:rsid w:val="00B702A0"/>
    <w:rsid w:val="00B704EE"/>
    <w:rsid w:val="00B712EC"/>
    <w:rsid w:val="00B7140E"/>
    <w:rsid w:val="00B714B2"/>
    <w:rsid w:val="00B71B8D"/>
    <w:rsid w:val="00B721F5"/>
    <w:rsid w:val="00B739BA"/>
    <w:rsid w:val="00B739CE"/>
    <w:rsid w:val="00B740EB"/>
    <w:rsid w:val="00B7411D"/>
    <w:rsid w:val="00B74632"/>
    <w:rsid w:val="00B7493E"/>
    <w:rsid w:val="00B759D2"/>
    <w:rsid w:val="00B75FC6"/>
    <w:rsid w:val="00B7657E"/>
    <w:rsid w:val="00B7697C"/>
    <w:rsid w:val="00B77B8A"/>
    <w:rsid w:val="00B8191A"/>
    <w:rsid w:val="00B81F9D"/>
    <w:rsid w:val="00B821D2"/>
    <w:rsid w:val="00B82715"/>
    <w:rsid w:val="00B828C1"/>
    <w:rsid w:val="00B8300D"/>
    <w:rsid w:val="00B83016"/>
    <w:rsid w:val="00B85100"/>
    <w:rsid w:val="00B8601A"/>
    <w:rsid w:val="00B8678B"/>
    <w:rsid w:val="00B87B4B"/>
    <w:rsid w:val="00B87B5C"/>
    <w:rsid w:val="00B87DD6"/>
    <w:rsid w:val="00B902FD"/>
    <w:rsid w:val="00B90373"/>
    <w:rsid w:val="00B90395"/>
    <w:rsid w:val="00B904A2"/>
    <w:rsid w:val="00B9180C"/>
    <w:rsid w:val="00B918B3"/>
    <w:rsid w:val="00B919A5"/>
    <w:rsid w:val="00B919E8"/>
    <w:rsid w:val="00B91E93"/>
    <w:rsid w:val="00B926AE"/>
    <w:rsid w:val="00B929B2"/>
    <w:rsid w:val="00B92E64"/>
    <w:rsid w:val="00B9336D"/>
    <w:rsid w:val="00B93A36"/>
    <w:rsid w:val="00B93EB2"/>
    <w:rsid w:val="00B94392"/>
    <w:rsid w:val="00B94DD3"/>
    <w:rsid w:val="00B95032"/>
    <w:rsid w:val="00B95E98"/>
    <w:rsid w:val="00B95EB4"/>
    <w:rsid w:val="00B96018"/>
    <w:rsid w:val="00B9653B"/>
    <w:rsid w:val="00B9680C"/>
    <w:rsid w:val="00B97987"/>
    <w:rsid w:val="00B97E35"/>
    <w:rsid w:val="00BA045C"/>
    <w:rsid w:val="00BA046C"/>
    <w:rsid w:val="00BA0879"/>
    <w:rsid w:val="00BA131E"/>
    <w:rsid w:val="00BA19C0"/>
    <w:rsid w:val="00BA1C4C"/>
    <w:rsid w:val="00BA208C"/>
    <w:rsid w:val="00BA2CB7"/>
    <w:rsid w:val="00BA2CDC"/>
    <w:rsid w:val="00BA3014"/>
    <w:rsid w:val="00BA30B8"/>
    <w:rsid w:val="00BA3804"/>
    <w:rsid w:val="00BA4B2D"/>
    <w:rsid w:val="00BA531B"/>
    <w:rsid w:val="00BA53E8"/>
    <w:rsid w:val="00BA574E"/>
    <w:rsid w:val="00BA5D26"/>
    <w:rsid w:val="00BA6960"/>
    <w:rsid w:val="00BA6A36"/>
    <w:rsid w:val="00BA6B82"/>
    <w:rsid w:val="00BA6F0E"/>
    <w:rsid w:val="00BA7587"/>
    <w:rsid w:val="00BA7A3F"/>
    <w:rsid w:val="00BA7DC4"/>
    <w:rsid w:val="00BB13BD"/>
    <w:rsid w:val="00BB1A36"/>
    <w:rsid w:val="00BB2124"/>
    <w:rsid w:val="00BB231D"/>
    <w:rsid w:val="00BB23F3"/>
    <w:rsid w:val="00BB25EE"/>
    <w:rsid w:val="00BB30C5"/>
    <w:rsid w:val="00BB3647"/>
    <w:rsid w:val="00BB3736"/>
    <w:rsid w:val="00BB4B69"/>
    <w:rsid w:val="00BB4F5A"/>
    <w:rsid w:val="00BB5A0D"/>
    <w:rsid w:val="00BB63BB"/>
    <w:rsid w:val="00BB6441"/>
    <w:rsid w:val="00BB6BE4"/>
    <w:rsid w:val="00BB6C05"/>
    <w:rsid w:val="00BC05A0"/>
    <w:rsid w:val="00BC09CE"/>
    <w:rsid w:val="00BC21DC"/>
    <w:rsid w:val="00BC251D"/>
    <w:rsid w:val="00BC2536"/>
    <w:rsid w:val="00BC28B9"/>
    <w:rsid w:val="00BC2CA8"/>
    <w:rsid w:val="00BC3080"/>
    <w:rsid w:val="00BC30DC"/>
    <w:rsid w:val="00BC3BD6"/>
    <w:rsid w:val="00BC44C8"/>
    <w:rsid w:val="00BC4DDC"/>
    <w:rsid w:val="00BC5B1B"/>
    <w:rsid w:val="00BD06F4"/>
    <w:rsid w:val="00BD0882"/>
    <w:rsid w:val="00BD131E"/>
    <w:rsid w:val="00BD134C"/>
    <w:rsid w:val="00BD138C"/>
    <w:rsid w:val="00BD19CA"/>
    <w:rsid w:val="00BD2088"/>
    <w:rsid w:val="00BD29C0"/>
    <w:rsid w:val="00BD3D90"/>
    <w:rsid w:val="00BD45C2"/>
    <w:rsid w:val="00BD556F"/>
    <w:rsid w:val="00BD589F"/>
    <w:rsid w:val="00BD5B5F"/>
    <w:rsid w:val="00BD63D9"/>
    <w:rsid w:val="00BD6718"/>
    <w:rsid w:val="00BD6DCB"/>
    <w:rsid w:val="00BD717F"/>
    <w:rsid w:val="00BD7386"/>
    <w:rsid w:val="00BE06F6"/>
    <w:rsid w:val="00BE2CBD"/>
    <w:rsid w:val="00BE301D"/>
    <w:rsid w:val="00BE3093"/>
    <w:rsid w:val="00BE3173"/>
    <w:rsid w:val="00BE3C6D"/>
    <w:rsid w:val="00BE4D60"/>
    <w:rsid w:val="00BE4D86"/>
    <w:rsid w:val="00BE4F20"/>
    <w:rsid w:val="00BE5749"/>
    <w:rsid w:val="00BE5ECA"/>
    <w:rsid w:val="00BE5FEA"/>
    <w:rsid w:val="00BE6D3A"/>
    <w:rsid w:val="00BE6D9E"/>
    <w:rsid w:val="00BE77E2"/>
    <w:rsid w:val="00BF0A2F"/>
    <w:rsid w:val="00BF0D29"/>
    <w:rsid w:val="00BF178A"/>
    <w:rsid w:val="00BF26D9"/>
    <w:rsid w:val="00BF2AB9"/>
    <w:rsid w:val="00BF3583"/>
    <w:rsid w:val="00BF47D0"/>
    <w:rsid w:val="00BF53B1"/>
    <w:rsid w:val="00BF5997"/>
    <w:rsid w:val="00BF61A1"/>
    <w:rsid w:val="00BF6F84"/>
    <w:rsid w:val="00BF7651"/>
    <w:rsid w:val="00BF7672"/>
    <w:rsid w:val="00BF776C"/>
    <w:rsid w:val="00BF79B6"/>
    <w:rsid w:val="00BF7A3B"/>
    <w:rsid w:val="00BF7E24"/>
    <w:rsid w:val="00C00405"/>
    <w:rsid w:val="00C0096A"/>
    <w:rsid w:val="00C02350"/>
    <w:rsid w:val="00C02F61"/>
    <w:rsid w:val="00C03DC2"/>
    <w:rsid w:val="00C05BDE"/>
    <w:rsid w:val="00C05C43"/>
    <w:rsid w:val="00C078A1"/>
    <w:rsid w:val="00C0793C"/>
    <w:rsid w:val="00C07969"/>
    <w:rsid w:val="00C108F9"/>
    <w:rsid w:val="00C11229"/>
    <w:rsid w:val="00C11EBF"/>
    <w:rsid w:val="00C12746"/>
    <w:rsid w:val="00C129B6"/>
    <w:rsid w:val="00C12F41"/>
    <w:rsid w:val="00C13DAB"/>
    <w:rsid w:val="00C1474C"/>
    <w:rsid w:val="00C148F8"/>
    <w:rsid w:val="00C14E37"/>
    <w:rsid w:val="00C15DA5"/>
    <w:rsid w:val="00C15F59"/>
    <w:rsid w:val="00C16148"/>
    <w:rsid w:val="00C165C3"/>
    <w:rsid w:val="00C17565"/>
    <w:rsid w:val="00C177EA"/>
    <w:rsid w:val="00C1781D"/>
    <w:rsid w:val="00C17841"/>
    <w:rsid w:val="00C17F89"/>
    <w:rsid w:val="00C20E16"/>
    <w:rsid w:val="00C21904"/>
    <w:rsid w:val="00C21C0F"/>
    <w:rsid w:val="00C21F66"/>
    <w:rsid w:val="00C21FE9"/>
    <w:rsid w:val="00C225D3"/>
    <w:rsid w:val="00C22DA9"/>
    <w:rsid w:val="00C22EA1"/>
    <w:rsid w:val="00C23425"/>
    <w:rsid w:val="00C2354D"/>
    <w:rsid w:val="00C242AD"/>
    <w:rsid w:val="00C24422"/>
    <w:rsid w:val="00C247DE"/>
    <w:rsid w:val="00C248D4"/>
    <w:rsid w:val="00C253EC"/>
    <w:rsid w:val="00C260C3"/>
    <w:rsid w:val="00C26C09"/>
    <w:rsid w:val="00C2794C"/>
    <w:rsid w:val="00C30060"/>
    <w:rsid w:val="00C301A0"/>
    <w:rsid w:val="00C304D4"/>
    <w:rsid w:val="00C313C1"/>
    <w:rsid w:val="00C3156F"/>
    <w:rsid w:val="00C31D4A"/>
    <w:rsid w:val="00C32AD6"/>
    <w:rsid w:val="00C32B79"/>
    <w:rsid w:val="00C33488"/>
    <w:rsid w:val="00C33813"/>
    <w:rsid w:val="00C33967"/>
    <w:rsid w:val="00C33F15"/>
    <w:rsid w:val="00C345E5"/>
    <w:rsid w:val="00C34893"/>
    <w:rsid w:val="00C34DC9"/>
    <w:rsid w:val="00C34F67"/>
    <w:rsid w:val="00C36291"/>
    <w:rsid w:val="00C36E86"/>
    <w:rsid w:val="00C378A6"/>
    <w:rsid w:val="00C40A9B"/>
    <w:rsid w:val="00C40B7A"/>
    <w:rsid w:val="00C41520"/>
    <w:rsid w:val="00C41C2C"/>
    <w:rsid w:val="00C41ED8"/>
    <w:rsid w:val="00C41EDD"/>
    <w:rsid w:val="00C4222E"/>
    <w:rsid w:val="00C441AB"/>
    <w:rsid w:val="00C4607A"/>
    <w:rsid w:val="00C46936"/>
    <w:rsid w:val="00C47D68"/>
    <w:rsid w:val="00C51453"/>
    <w:rsid w:val="00C514A5"/>
    <w:rsid w:val="00C51E67"/>
    <w:rsid w:val="00C5256A"/>
    <w:rsid w:val="00C52F7E"/>
    <w:rsid w:val="00C547AC"/>
    <w:rsid w:val="00C5511A"/>
    <w:rsid w:val="00C559A5"/>
    <w:rsid w:val="00C56083"/>
    <w:rsid w:val="00C560D5"/>
    <w:rsid w:val="00C56AA3"/>
    <w:rsid w:val="00C56B12"/>
    <w:rsid w:val="00C575C4"/>
    <w:rsid w:val="00C576EA"/>
    <w:rsid w:val="00C604F2"/>
    <w:rsid w:val="00C60980"/>
    <w:rsid w:val="00C6189E"/>
    <w:rsid w:val="00C629DC"/>
    <w:rsid w:val="00C62F5B"/>
    <w:rsid w:val="00C62FA8"/>
    <w:rsid w:val="00C63C2B"/>
    <w:rsid w:val="00C63D45"/>
    <w:rsid w:val="00C640D7"/>
    <w:rsid w:val="00C64329"/>
    <w:rsid w:val="00C644CD"/>
    <w:rsid w:val="00C65D6B"/>
    <w:rsid w:val="00C669E7"/>
    <w:rsid w:val="00C66E15"/>
    <w:rsid w:val="00C672AC"/>
    <w:rsid w:val="00C70684"/>
    <w:rsid w:val="00C70BA5"/>
    <w:rsid w:val="00C71037"/>
    <w:rsid w:val="00C71563"/>
    <w:rsid w:val="00C7166D"/>
    <w:rsid w:val="00C7183D"/>
    <w:rsid w:val="00C71FCE"/>
    <w:rsid w:val="00C724EA"/>
    <w:rsid w:val="00C7325C"/>
    <w:rsid w:val="00C732E7"/>
    <w:rsid w:val="00C74554"/>
    <w:rsid w:val="00C745C8"/>
    <w:rsid w:val="00C74A99"/>
    <w:rsid w:val="00C74E6E"/>
    <w:rsid w:val="00C75227"/>
    <w:rsid w:val="00C75335"/>
    <w:rsid w:val="00C759DF"/>
    <w:rsid w:val="00C75CF7"/>
    <w:rsid w:val="00C76A2D"/>
    <w:rsid w:val="00C76B2C"/>
    <w:rsid w:val="00C77766"/>
    <w:rsid w:val="00C802B5"/>
    <w:rsid w:val="00C80B04"/>
    <w:rsid w:val="00C81646"/>
    <w:rsid w:val="00C821FF"/>
    <w:rsid w:val="00C82588"/>
    <w:rsid w:val="00C8266F"/>
    <w:rsid w:val="00C82B3E"/>
    <w:rsid w:val="00C82FBF"/>
    <w:rsid w:val="00C8354A"/>
    <w:rsid w:val="00C836C2"/>
    <w:rsid w:val="00C83A3C"/>
    <w:rsid w:val="00C83B4D"/>
    <w:rsid w:val="00C8453D"/>
    <w:rsid w:val="00C8594A"/>
    <w:rsid w:val="00C86310"/>
    <w:rsid w:val="00C865AE"/>
    <w:rsid w:val="00C86AA6"/>
    <w:rsid w:val="00C86ADD"/>
    <w:rsid w:val="00C86D6F"/>
    <w:rsid w:val="00C87040"/>
    <w:rsid w:val="00C87406"/>
    <w:rsid w:val="00C877CA"/>
    <w:rsid w:val="00C90A34"/>
    <w:rsid w:val="00C917C5"/>
    <w:rsid w:val="00C92433"/>
    <w:rsid w:val="00C9305C"/>
    <w:rsid w:val="00C9312C"/>
    <w:rsid w:val="00C93134"/>
    <w:rsid w:val="00C931B9"/>
    <w:rsid w:val="00C93384"/>
    <w:rsid w:val="00C93A04"/>
    <w:rsid w:val="00C93A82"/>
    <w:rsid w:val="00C9445F"/>
    <w:rsid w:val="00C96D32"/>
    <w:rsid w:val="00C97405"/>
    <w:rsid w:val="00CA1F83"/>
    <w:rsid w:val="00CA250F"/>
    <w:rsid w:val="00CA26C2"/>
    <w:rsid w:val="00CA2816"/>
    <w:rsid w:val="00CA2929"/>
    <w:rsid w:val="00CA29FF"/>
    <w:rsid w:val="00CA2ADD"/>
    <w:rsid w:val="00CA2C0E"/>
    <w:rsid w:val="00CA31B1"/>
    <w:rsid w:val="00CA3514"/>
    <w:rsid w:val="00CA3581"/>
    <w:rsid w:val="00CA44A4"/>
    <w:rsid w:val="00CA488F"/>
    <w:rsid w:val="00CA5178"/>
    <w:rsid w:val="00CA717E"/>
    <w:rsid w:val="00CA7BAB"/>
    <w:rsid w:val="00CB0283"/>
    <w:rsid w:val="00CB0385"/>
    <w:rsid w:val="00CB04DB"/>
    <w:rsid w:val="00CB0C64"/>
    <w:rsid w:val="00CB101E"/>
    <w:rsid w:val="00CB1270"/>
    <w:rsid w:val="00CB255A"/>
    <w:rsid w:val="00CB2FA2"/>
    <w:rsid w:val="00CB3070"/>
    <w:rsid w:val="00CB32B9"/>
    <w:rsid w:val="00CB39A4"/>
    <w:rsid w:val="00CB3A96"/>
    <w:rsid w:val="00CB40F4"/>
    <w:rsid w:val="00CB4F94"/>
    <w:rsid w:val="00CB4FF1"/>
    <w:rsid w:val="00CB5477"/>
    <w:rsid w:val="00CB5659"/>
    <w:rsid w:val="00CB59F0"/>
    <w:rsid w:val="00CB61F2"/>
    <w:rsid w:val="00CB66B6"/>
    <w:rsid w:val="00CB6958"/>
    <w:rsid w:val="00CC0679"/>
    <w:rsid w:val="00CC0DA7"/>
    <w:rsid w:val="00CC1038"/>
    <w:rsid w:val="00CC3540"/>
    <w:rsid w:val="00CC41DE"/>
    <w:rsid w:val="00CC50F5"/>
    <w:rsid w:val="00CC5418"/>
    <w:rsid w:val="00CC5B94"/>
    <w:rsid w:val="00CC5EC1"/>
    <w:rsid w:val="00CC64E4"/>
    <w:rsid w:val="00CD0803"/>
    <w:rsid w:val="00CD0EBE"/>
    <w:rsid w:val="00CD1243"/>
    <w:rsid w:val="00CD14E2"/>
    <w:rsid w:val="00CD31EF"/>
    <w:rsid w:val="00CD3569"/>
    <w:rsid w:val="00CD3DD6"/>
    <w:rsid w:val="00CD4196"/>
    <w:rsid w:val="00CD6710"/>
    <w:rsid w:val="00CD6DB9"/>
    <w:rsid w:val="00CD7E71"/>
    <w:rsid w:val="00CE16D5"/>
    <w:rsid w:val="00CE35F8"/>
    <w:rsid w:val="00CE460B"/>
    <w:rsid w:val="00CE518D"/>
    <w:rsid w:val="00CE574D"/>
    <w:rsid w:val="00CE59EC"/>
    <w:rsid w:val="00CE5FCB"/>
    <w:rsid w:val="00CE69F2"/>
    <w:rsid w:val="00CE6B29"/>
    <w:rsid w:val="00CE7176"/>
    <w:rsid w:val="00CE797F"/>
    <w:rsid w:val="00CE7B26"/>
    <w:rsid w:val="00CF0702"/>
    <w:rsid w:val="00CF0C6C"/>
    <w:rsid w:val="00CF0EC7"/>
    <w:rsid w:val="00CF14E7"/>
    <w:rsid w:val="00CF1645"/>
    <w:rsid w:val="00CF1892"/>
    <w:rsid w:val="00CF2829"/>
    <w:rsid w:val="00CF2938"/>
    <w:rsid w:val="00CF2D5C"/>
    <w:rsid w:val="00CF2FAE"/>
    <w:rsid w:val="00CF3A2C"/>
    <w:rsid w:val="00CF3EC7"/>
    <w:rsid w:val="00CF48B9"/>
    <w:rsid w:val="00CF4B01"/>
    <w:rsid w:val="00CF528B"/>
    <w:rsid w:val="00CF5EDA"/>
    <w:rsid w:val="00CF5FC4"/>
    <w:rsid w:val="00CF5FE6"/>
    <w:rsid w:val="00CF602C"/>
    <w:rsid w:val="00CF7562"/>
    <w:rsid w:val="00CF79B8"/>
    <w:rsid w:val="00CF7D45"/>
    <w:rsid w:val="00D00ADC"/>
    <w:rsid w:val="00D00CBF"/>
    <w:rsid w:val="00D016C3"/>
    <w:rsid w:val="00D01E9D"/>
    <w:rsid w:val="00D02ACF"/>
    <w:rsid w:val="00D034A0"/>
    <w:rsid w:val="00D03B4F"/>
    <w:rsid w:val="00D03C02"/>
    <w:rsid w:val="00D04477"/>
    <w:rsid w:val="00D056A4"/>
    <w:rsid w:val="00D05957"/>
    <w:rsid w:val="00D07298"/>
    <w:rsid w:val="00D07FE1"/>
    <w:rsid w:val="00D10627"/>
    <w:rsid w:val="00D11BD7"/>
    <w:rsid w:val="00D125E3"/>
    <w:rsid w:val="00D126E0"/>
    <w:rsid w:val="00D130C0"/>
    <w:rsid w:val="00D1327A"/>
    <w:rsid w:val="00D1329F"/>
    <w:rsid w:val="00D133EE"/>
    <w:rsid w:val="00D13747"/>
    <w:rsid w:val="00D13E39"/>
    <w:rsid w:val="00D14F54"/>
    <w:rsid w:val="00D155FC"/>
    <w:rsid w:val="00D1685D"/>
    <w:rsid w:val="00D16AAF"/>
    <w:rsid w:val="00D1771B"/>
    <w:rsid w:val="00D17ADD"/>
    <w:rsid w:val="00D17CBC"/>
    <w:rsid w:val="00D2103F"/>
    <w:rsid w:val="00D21387"/>
    <w:rsid w:val="00D229F2"/>
    <w:rsid w:val="00D23B55"/>
    <w:rsid w:val="00D240BA"/>
    <w:rsid w:val="00D244E2"/>
    <w:rsid w:val="00D24EE0"/>
    <w:rsid w:val="00D2524E"/>
    <w:rsid w:val="00D25627"/>
    <w:rsid w:val="00D26445"/>
    <w:rsid w:val="00D2655A"/>
    <w:rsid w:val="00D265E1"/>
    <w:rsid w:val="00D3006E"/>
    <w:rsid w:val="00D303F5"/>
    <w:rsid w:val="00D30B5E"/>
    <w:rsid w:val="00D318DB"/>
    <w:rsid w:val="00D31E3C"/>
    <w:rsid w:val="00D32B96"/>
    <w:rsid w:val="00D3334B"/>
    <w:rsid w:val="00D34324"/>
    <w:rsid w:val="00D34584"/>
    <w:rsid w:val="00D346BB"/>
    <w:rsid w:val="00D34901"/>
    <w:rsid w:val="00D3520F"/>
    <w:rsid w:val="00D35416"/>
    <w:rsid w:val="00D36407"/>
    <w:rsid w:val="00D36E33"/>
    <w:rsid w:val="00D37503"/>
    <w:rsid w:val="00D37FAB"/>
    <w:rsid w:val="00D4006B"/>
    <w:rsid w:val="00D400E3"/>
    <w:rsid w:val="00D40FAA"/>
    <w:rsid w:val="00D41636"/>
    <w:rsid w:val="00D4174A"/>
    <w:rsid w:val="00D41B26"/>
    <w:rsid w:val="00D41B6A"/>
    <w:rsid w:val="00D421E2"/>
    <w:rsid w:val="00D426F4"/>
    <w:rsid w:val="00D428FD"/>
    <w:rsid w:val="00D43B1E"/>
    <w:rsid w:val="00D43BD6"/>
    <w:rsid w:val="00D43F6D"/>
    <w:rsid w:val="00D44895"/>
    <w:rsid w:val="00D448BA"/>
    <w:rsid w:val="00D453C0"/>
    <w:rsid w:val="00D453D8"/>
    <w:rsid w:val="00D459A2"/>
    <w:rsid w:val="00D45AF7"/>
    <w:rsid w:val="00D45B91"/>
    <w:rsid w:val="00D45BED"/>
    <w:rsid w:val="00D467F9"/>
    <w:rsid w:val="00D46895"/>
    <w:rsid w:val="00D46EDD"/>
    <w:rsid w:val="00D4727F"/>
    <w:rsid w:val="00D47534"/>
    <w:rsid w:val="00D476BF"/>
    <w:rsid w:val="00D476F8"/>
    <w:rsid w:val="00D4771F"/>
    <w:rsid w:val="00D47B05"/>
    <w:rsid w:val="00D504DF"/>
    <w:rsid w:val="00D50A5C"/>
    <w:rsid w:val="00D516DD"/>
    <w:rsid w:val="00D521D5"/>
    <w:rsid w:val="00D53196"/>
    <w:rsid w:val="00D53261"/>
    <w:rsid w:val="00D53B06"/>
    <w:rsid w:val="00D544BD"/>
    <w:rsid w:val="00D55A91"/>
    <w:rsid w:val="00D5619C"/>
    <w:rsid w:val="00D56E5D"/>
    <w:rsid w:val="00D57A06"/>
    <w:rsid w:val="00D57D6B"/>
    <w:rsid w:val="00D6172F"/>
    <w:rsid w:val="00D61E75"/>
    <w:rsid w:val="00D6221B"/>
    <w:rsid w:val="00D626B6"/>
    <w:rsid w:val="00D628C8"/>
    <w:rsid w:val="00D636D8"/>
    <w:rsid w:val="00D65224"/>
    <w:rsid w:val="00D65C4E"/>
    <w:rsid w:val="00D67412"/>
    <w:rsid w:val="00D677A0"/>
    <w:rsid w:val="00D70A80"/>
    <w:rsid w:val="00D71A0A"/>
    <w:rsid w:val="00D71A8F"/>
    <w:rsid w:val="00D72131"/>
    <w:rsid w:val="00D7387D"/>
    <w:rsid w:val="00D747B6"/>
    <w:rsid w:val="00D74E88"/>
    <w:rsid w:val="00D75269"/>
    <w:rsid w:val="00D7547C"/>
    <w:rsid w:val="00D755E4"/>
    <w:rsid w:val="00D7691E"/>
    <w:rsid w:val="00D76A30"/>
    <w:rsid w:val="00D77A2A"/>
    <w:rsid w:val="00D80AF5"/>
    <w:rsid w:val="00D8108A"/>
    <w:rsid w:val="00D81261"/>
    <w:rsid w:val="00D81B1A"/>
    <w:rsid w:val="00D8222F"/>
    <w:rsid w:val="00D830ED"/>
    <w:rsid w:val="00D8381D"/>
    <w:rsid w:val="00D83AF5"/>
    <w:rsid w:val="00D83D8B"/>
    <w:rsid w:val="00D8412E"/>
    <w:rsid w:val="00D8456C"/>
    <w:rsid w:val="00D853D2"/>
    <w:rsid w:val="00D861E4"/>
    <w:rsid w:val="00D8629F"/>
    <w:rsid w:val="00D86406"/>
    <w:rsid w:val="00D8688A"/>
    <w:rsid w:val="00D8702F"/>
    <w:rsid w:val="00D87E85"/>
    <w:rsid w:val="00D87FB4"/>
    <w:rsid w:val="00D911B4"/>
    <w:rsid w:val="00D91306"/>
    <w:rsid w:val="00D9142D"/>
    <w:rsid w:val="00D9167E"/>
    <w:rsid w:val="00D92050"/>
    <w:rsid w:val="00D92709"/>
    <w:rsid w:val="00D92817"/>
    <w:rsid w:val="00D92CF8"/>
    <w:rsid w:val="00D92FB3"/>
    <w:rsid w:val="00D92FF9"/>
    <w:rsid w:val="00D93C88"/>
    <w:rsid w:val="00D94659"/>
    <w:rsid w:val="00D94932"/>
    <w:rsid w:val="00D94DEF"/>
    <w:rsid w:val="00D94E68"/>
    <w:rsid w:val="00D954CE"/>
    <w:rsid w:val="00D956BE"/>
    <w:rsid w:val="00D9586D"/>
    <w:rsid w:val="00D96A85"/>
    <w:rsid w:val="00D96A9F"/>
    <w:rsid w:val="00D96C9F"/>
    <w:rsid w:val="00D9739A"/>
    <w:rsid w:val="00D9747A"/>
    <w:rsid w:val="00D97D6D"/>
    <w:rsid w:val="00D97EF4"/>
    <w:rsid w:val="00DA1FB7"/>
    <w:rsid w:val="00DA3005"/>
    <w:rsid w:val="00DA37DB"/>
    <w:rsid w:val="00DA4550"/>
    <w:rsid w:val="00DA4EB1"/>
    <w:rsid w:val="00DA53B8"/>
    <w:rsid w:val="00DA549E"/>
    <w:rsid w:val="00DA6B26"/>
    <w:rsid w:val="00DA704F"/>
    <w:rsid w:val="00DA7789"/>
    <w:rsid w:val="00DA779D"/>
    <w:rsid w:val="00DB012E"/>
    <w:rsid w:val="00DB019B"/>
    <w:rsid w:val="00DB0C65"/>
    <w:rsid w:val="00DB0CFE"/>
    <w:rsid w:val="00DB1133"/>
    <w:rsid w:val="00DB19E0"/>
    <w:rsid w:val="00DB1EA3"/>
    <w:rsid w:val="00DB22B9"/>
    <w:rsid w:val="00DB2891"/>
    <w:rsid w:val="00DB2D12"/>
    <w:rsid w:val="00DB3080"/>
    <w:rsid w:val="00DB34F1"/>
    <w:rsid w:val="00DB3638"/>
    <w:rsid w:val="00DB4E92"/>
    <w:rsid w:val="00DB57AC"/>
    <w:rsid w:val="00DB693D"/>
    <w:rsid w:val="00DB7712"/>
    <w:rsid w:val="00DB7F72"/>
    <w:rsid w:val="00DC0012"/>
    <w:rsid w:val="00DC06F8"/>
    <w:rsid w:val="00DC0AB5"/>
    <w:rsid w:val="00DC0D89"/>
    <w:rsid w:val="00DC0E6D"/>
    <w:rsid w:val="00DC0EE7"/>
    <w:rsid w:val="00DC1C66"/>
    <w:rsid w:val="00DC2191"/>
    <w:rsid w:val="00DC2CE6"/>
    <w:rsid w:val="00DC2E8C"/>
    <w:rsid w:val="00DC48F6"/>
    <w:rsid w:val="00DC507B"/>
    <w:rsid w:val="00DC6F58"/>
    <w:rsid w:val="00DD09BB"/>
    <w:rsid w:val="00DD0AEA"/>
    <w:rsid w:val="00DD0C55"/>
    <w:rsid w:val="00DD0E04"/>
    <w:rsid w:val="00DD21ED"/>
    <w:rsid w:val="00DD24B2"/>
    <w:rsid w:val="00DD2A4A"/>
    <w:rsid w:val="00DD2DCD"/>
    <w:rsid w:val="00DD30BC"/>
    <w:rsid w:val="00DD3184"/>
    <w:rsid w:val="00DD34B3"/>
    <w:rsid w:val="00DD5453"/>
    <w:rsid w:val="00DD59D6"/>
    <w:rsid w:val="00DD6640"/>
    <w:rsid w:val="00DD67E9"/>
    <w:rsid w:val="00DD6CA8"/>
    <w:rsid w:val="00DD7330"/>
    <w:rsid w:val="00DE0661"/>
    <w:rsid w:val="00DE06EB"/>
    <w:rsid w:val="00DE38DF"/>
    <w:rsid w:val="00DE48EF"/>
    <w:rsid w:val="00DE4BDB"/>
    <w:rsid w:val="00DE4E43"/>
    <w:rsid w:val="00DE5A54"/>
    <w:rsid w:val="00DE61F7"/>
    <w:rsid w:val="00DF15B8"/>
    <w:rsid w:val="00DF2B52"/>
    <w:rsid w:val="00DF3200"/>
    <w:rsid w:val="00DF42CD"/>
    <w:rsid w:val="00DF495B"/>
    <w:rsid w:val="00DF4D73"/>
    <w:rsid w:val="00DF5F84"/>
    <w:rsid w:val="00DF77D9"/>
    <w:rsid w:val="00DF799A"/>
    <w:rsid w:val="00DF7AD1"/>
    <w:rsid w:val="00E00580"/>
    <w:rsid w:val="00E0191A"/>
    <w:rsid w:val="00E01DD0"/>
    <w:rsid w:val="00E01E6E"/>
    <w:rsid w:val="00E03505"/>
    <w:rsid w:val="00E03781"/>
    <w:rsid w:val="00E039D3"/>
    <w:rsid w:val="00E042DD"/>
    <w:rsid w:val="00E043E8"/>
    <w:rsid w:val="00E0450F"/>
    <w:rsid w:val="00E04527"/>
    <w:rsid w:val="00E04644"/>
    <w:rsid w:val="00E05224"/>
    <w:rsid w:val="00E06B27"/>
    <w:rsid w:val="00E0756C"/>
    <w:rsid w:val="00E100E7"/>
    <w:rsid w:val="00E104E0"/>
    <w:rsid w:val="00E10DB1"/>
    <w:rsid w:val="00E113C1"/>
    <w:rsid w:val="00E1213E"/>
    <w:rsid w:val="00E125A9"/>
    <w:rsid w:val="00E1328A"/>
    <w:rsid w:val="00E133E8"/>
    <w:rsid w:val="00E15EC2"/>
    <w:rsid w:val="00E15F27"/>
    <w:rsid w:val="00E15FFA"/>
    <w:rsid w:val="00E166EA"/>
    <w:rsid w:val="00E16FC1"/>
    <w:rsid w:val="00E1736D"/>
    <w:rsid w:val="00E202A0"/>
    <w:rsid w:val="00E20493"/>
    <w:rsid w:val="00E2067E"/>
    <w:rsid w:val="00E213A6"/>
    <w:rsid w:val="00E21A02"/>
    <w:rsid w:val="00E21C9E"/>
    <w:rsid w:val="00E2229E"/>
    <w:rsid w:val="00E228B3"/>
    <w:rsid w:val="00E22D54"/>
    <w:rsid w:val="00E23009"/>
    <w:rsid w:val="00E25725"/>
    <w:rsid w:val="00E2589D"/>
    <w:rsid w:val="00E25B8B"/>
    <w:rsid w:val="00E25F75"/>
    <w:rsid w:val="00E26AC6"/>
    <w:rsid w:val="00E26CC3"/>
    <w:rsid w:val="00E2715A"/>
    <w:rsid w:val="00E27DAB"/>
    <w:rsid w:val="00E27DF6"/>
    <w:rsid w:val="00E27F93"/>
    <w:rsid w:val="00E30E49"/>
    <w:rsid w:val="00E31904"/>
    <w:rsid w:val="00E319A5"/>
    <w:rsid w:val="00E31EF3"/>
    <w:rsid w:val="00E32369"/>
    <w:rsid w:val="00E328B3"/>
    <w:rsid w:val="00E33925"/>
    <w:rsid w:val="00E33EC8"/>
    <w:rsid w:val="00E3482F"/>
    <w:rsid w:val="00E3538A"/>
    <w:rsid w:val="00E36631"/>
    <w:rsid w:val="00E36F25"/>
    <w:rsid w:val="00E3706C"/>
    <w:rsid w:val="00E4028E"/>
    <w:rsid w:val="00E40655"/>
    <w:rsid w:val="00E408AA"/>
    <w:rsid w:val="00E40AAB"/>
    <w:rsid w:val="00E40DB0"/>
    <w:rsid w:val="00E42005"/>
    <w:rsid w:val="00E420EA"/>
    <w:rsid w:val="00E42330"/>
    <w:rsid w:val="00E42A87"/>
    <w:rsid w:val="00E42DB2"/>
    <w:rsid w:val="00E42E84"/>
    <w:rsid w:val="00E433BB"/>
    <w:rsid w:val="00E4389F"/>
    <w:rsid w:val="00E43BF9"/>
    <w:rsid w:val="00E43F30"/>
    <w:rsid w:val="00E43F44"/>
    <w:rsid w:val="00E44A46"/>
    <w:rsid w:val="00E46507"/>
    <w:rsid w:val="00E46B0D"/>
    <w:rsid w:val="00E4746A"/>
    <w:rsid w:val="00E47AB2"/>
    <w:rsid w:val="00E50591"/>
    <w:rsid w:val="00E50B99"/>
    <w:rsid w:val="00E50ECC"/>
    <w:rsid w:val="00E50FE0"/>
    <w:rsid w:val="00E51D7B"/>
    <w:rsid w:val="00E51E70"/>
    <w:rsid w:val="00E524E2"/>
    <w:rsid w:val="00E52F2D"/>
    <w:rsid w:val="00E532D3"/>
    <w:rsid w:val="00E53361"/>
    <w:rsid w:val="00E53649"/>
    <w:rsid w:val="00E53E88"/>
    <w:rsid w:val="00E5486F"/>
    <w:rsid w:val="00E55A7C"/>
    <w:rsid w:val="00E56855"/>
    <w:rsid w:val="00E57188"/>
    <w:rsid w:val="00E601FB"/>
    <w:rsid w:val="00E61243"/>
    <w:rsid w:val="00E6190E"/>
    <w:rsid w:val="00E619AA"/>
    <w:rsid w:val="00E61B3D"/>
    <w:rsid w:val="00E6217E"/>
    <w:rsid w:val="00E622A1"/>
    <w:rsid w:val="00E62880"/>
    <w:rsid w:val="00E6352E"/>
    <w:rsid w:val="00E63C75"/>
    <w:rsid w:val="00E64044"/>
    <w:rsid w:val="00E643BD"/>
    <w:rsid w:val="00E644F6"/>
    <w:rsid w:val="00E647D3"/>
    <w:rsid w:val="00E64B8B"/>
    <w:rsid w:val="00E651FF"/>
    <w:rsid w:val="00E65775"/>
    <w:rsid w:val="00E65A18"/>
    <w:rsid w:val="00E6718C"/>
    <w:rsid w:val="00E6732E"/>
    <w:rsid w:val="00E7075B"/>
    <w:rsid w:val="00E709E1"/>
    <w:rsid w:val="00E70B8C"/>
    <w:rsid w:val="00E70C23"/>
    <w:rsid w:val="00E70DCB"/>
    <w:rsid w:val="00E71322"/>
    <w:rsid w:val="00E7153C"/>
    <w:rsid w:val="00E719C5"/>
    <w:rsid w:val="00E724AE"/>
    <w:rsid w:val="00E73172"/>
    <w:rsid w:val="00E73377"/>
    <w:rsid w:val="00E739B8"/>
    <w:rsid w:val="00E73A4C"/>
    <w:rsid w:val="00E73ADA"/>
    <w:rsid w:val="00E744D2"/>
    <w:rsid w:val="00E74B9E"/>
    <w:rsid w:val="00E74BCF"/>
    <w:rsid w:val="00E75188"/>
    <w:rsid w:val="00E75B27"/>
    <w:rsid w:val="00E75CC6"/>
    <w:rsid w:val="00E766F5"/>
    <w:rsid w:val="00E773CC"/>
    <w:rsid w:val="00E77BC3"/>
    <w:rsid w:val="00E81D81"/>
    <w:rsid w:val="00E82643"/>
    <w:rsid w:val="00E82ADE"/>
    <w:rsid w:val="00E82ED4"/>
    <w:rsid w:val="00E835BD"/>
    <w:rsid w:val="00E838E3"/>
    <w:rsid w:val="00E84618"/>
    <w:rsid w:val="00E856E5"/>
    <w:rsid w:val="00E85ACD"/>
    <w:rsid w:val="00E85DE5"/>
    <w:rsid w:val="00E86239"/>
    <w:rsid w:val="00E8667B"/>
    <w:rsid w:val="00E871FB"/>
    <w:rsid w:val="00E875AE"/>
    <w:rsid w:val="00E900E9"/>
    <w:rsid w:val="00E9059F"/>
    <w:rsid w:val="00E90694"/>
    <w:rsid w:val="00E90755"/>
    <w:rsid w:val="00E90B68"/>
    <w:rsid w:val="00E91292"/>
    <w:rsid w:val="00E91CBA"/>
    <w:rsid w:val="00E936B4"/>
    <w:rsid w:val="00E942D8"/>
    <w:rsid w:val="00E946E2"/>
    <w:rsid w:val="00E9473A"/>
    <w:rsid w:val="00E95644"/>
    <w:rsid w:val="00E96F02"/>
    <w:rsid w:val="00E977C8"/>
    <w:rsid w:val="00E97A8D"/>
    <w:rsid w:val="00E97F28"/>
    <w:rsid w:val="00EA0698"/>
    <w:rsid w:val="00EA0F79"/>
    <w:rsid w:val="00EA0FA9"/>
    <w:rsid w:val="00EA18E7"/>
    <w:rsid w:val="00EA1F2A"/>
    <w:rsid w:val="00EA29F5"/>
    <w:rsid w:val="00EA319A"/>
    <w:rsid w:val="00EA3A29"/>
    <w:rsid w:val="00EA441D"/>
    <w:rsid w:val="00EA53E5"/>
    <w:rsid w:val="00EA55D1"/>
    <w:rsid w:val="00EA5AC0"/>
    <w:rsid w:val="00EA60BB"/>
    <w:rsid w:val="00EA72C6"/>
    <w:rsid w:val="00EA7433"/>
    <w:rsid w:val="00EA7C2B"/>
    <w:rsid w:val="00EB0318"/>
    <w:rsid w:val="00EB03A2"/>
    <w:rsid w:val="00EB1A79"/>
    <w:rsid w:val="00EB1C69"/>
    <w:rsid w:val="00EB2909"/>
    <w:rsid w:val="00EB3977"/>
    <w:rsid w:val="00EB46AC"/>
    <w:rsid w:val="00EB4821"/>
    <w:rsid w:val="00EB4962"/>
    <w:rsid w:val="00EB5003"/>
    <w:rsid w:val="00EB549A"/>
    <w:rsid w:val="00EB5847"/>
    <w:rsid w:val="00EB5FB3"/>
    <w:rsid w:val="00EB6740"/>
    <w:rsid w:val="00EB69AE"/>
    <w:rsid w:val="00EB6BE4"/>
    <w:rsid w:val="00EC158B"/>
    <w:rsid w:val="00EC29CF"/>
    <w:rsid w:val="00EC3FDE"/>
    <w:rsid w:val="00EC43A5"/>
    <w:rsid w:val="00EC4BAC"/>
    <w:rsid w:val="00EC52C5"/>
    <w:rsid w:val="00EC55C5"/>
    <w:rsid w:val="00EC57EA"/>
    <w:rsid w:val="00EC6408"/>
    <w:rsid w:val="00EC64C9"/>
    <w:rsid w:val="00EC653C"/>
    <w:rsid w:val="00EC6B9E"/>
    <w:rsid w:val="00EC7A4E"/>
    <w:rsid w:val="00EC7C9E"/>
    <w:rsid w:val="00ED0484"/>
    <w:rsid w:val="00ED07D9"/>
    <w:rsid w:val="00ED0A0F"/>
    <w:rsid w:val="00ED11C9"/>
    <w:rsid w:val="00ED13B2"/>
    <w:rsid w:val="00ED18CB"/>
    <w:rsid w:val="00ED29B0"/>
    <w:rsid w:val="00ED2BAC"/>
    <w:rsid w:val="00ED2D03"/>
    <w:rsid w:val="00ED2D73"/>
    <w:rsid w:val="00ED2DD7"/>
    <w:rsid w:val="00ED3916"/>
    <w:rsid w:val="00ED3A43"/>
    <w:rsid w:val="00ED4812"/>
    <w:rsid w:val="00ED4DA3"/>
    <w:rsid w:val="00ED4E3A"/>
    <w:rsid w:val="00ED5205"/>
    <w:rsid w:val="00ED64F9"/>
    <w:rsid w:val="00ED67AD"/>
    <w:rsid w:val="00ED7534"/>
    <w:rsid w:val="00EE0A21"/>
    <w:rsid w:val="00EE1FBA"/>
    <w:rsid w:val="00EE2E94"/>
    <w:rsid w:val="00EE4730"/>
    <w:rsid w:val="00EE51F9"/>
    <w:rsid w:val="00EE5811"/>
    <w:rsid w:val="00EE5A83"/>
    <w:rsid w:val="00EE6B22"/>
    <w:rsid w:val="00EE7E3A"/>
    <w:rsid w:val="00EF0E98"/>
    <w:rsid w:val="00EF128F"/>
    <w:rsid w:val="00EF2145"/>
    <w:rsid w:val="00EF21E6"/>
    <w:rsid w:val="00EF2941"/>
    <w:rsid w:val="00EF2FD5"/>
    <w:rsid w:val="00EF380F"/>
    <w:rsid w:val="00EF3CFC"/>
    <w:rsid w:val="00EF4125"/>
    <w:rsid w:val="00EF4C77"/>
    <w:rsid w:val="00EF5611"/>
    <w:rsid w:val="00EF606D"/>
    <w:rsid w:val="00EF6F26"/>
    <w:rsid w:val="00EF748A"/>
    <w:rsid w:val="00F00272"/>
    <w:rsid w:val="00F00EE2"/>
    <w:rsid w:val="00F017E0"/>
    <w:rsid w:val="00F01B9D"/>
    <w:rsid w:val="00F01C68"/>
    <w:rsid w:val="00F01E44"/>
    <w:rsid w:val="00F02577"/>
    <w:rsid w:val="00F02709"/>
    <w:rsid w:val="00F02A69"/>
    <w:rsid w:val="00F03C3D"/>
    <w:rsid w:val="00F0452E"/>
    <w:rsid w:val="00F04627"/>
    <w:rsid w:val="00F04F5A"/>
    <w:rsid w:val="00F057C8"/>
    <w:rsid w:val="00F05833"/>
    <w:rsid w:val="00F05A4A"/>
    <w:rsid w:val="00F0629F"/>
    <w:rsid w:val="00F06DD4"/>
    <w:rsid w:val="00F07D57"/>
    <w:rsid w:val="00F10D1B"/>
    <w:rsid w:val="00F10FA6"/>
    <w:rsid w:val="00F11485"/>
    <w:rsid w:val="00F11A4A"/>
    <w:rsid w:val="00F11F90"/>
    <w:rsid w:val="00F12295"/>
    <w:rsid w:val="00F1279F"/>
    <w:rsid w:val="00F12991"/>
    <w:rsid w:val="00F13192"/>
    <w:rsid w:val="00F1340D"/>
    <w:rsid w:val="00F13790"/>
    <w:rsid w:val="00F13D43"/>
    <w:rsid w:val="00F14E33"/>
    <w:rsid w:val="00F15180"/>
    <w:rsid w:val="00F15B31"/>
    <w:rsid w:val="00F15B8D"/>
    <w:rsid w:val="00F15B8F"/>
    <w:rsid w:val="00F161EE"/>
    <w:rsid w:val="00F16CF8"/>
    <w:rsid w:val="00F17DD1"/>
    <w:rsid w:val="00F21140"/>
    <w:rsid w:val="00F21E53"/>
    <w:rsid w:val="00F22190"/>
    <w:rsid w:val="00F223C8"/>
    <w:rsid w:val="00F227F1"/>
    <w:rsid w:val="00F2309F"/>
    <w:rsid w:val="00F23857"/>
    <w:rsid w:val="00F242D7"/>
    <w:rsid w:val="00F2553F"/>
    <w:rsid w:val="00F25A4E"/>
    <w:rsid w:val="00F25C74"/>
    <w:rsid w:val="00F25F88"/>
    <w:rsid w:val="00F26335"/>
    <w:rsid w:val="00F2645A"/>
    <w:rsid w:val="00F26C02"/>
    <w:rsid w:val="00F26E05"/>
    <w:rsid w:val="00F27DA5"/>
    <w:rsid w:val="00F27E41"/>
    <w:rsid w:val="00F3116F"/>
    <w:rsid w:val="00F3118A"/>
    <w:rsid w:val="00F312AB"/>
    <w:rsid w:val="00F3164C"/>
    <w:rsid w:val="00F31C51"/>
    <w:rsid w:val="00F31CA7"/>
    <w:rsid w:val="00F32C31"/>
    <w:rsid w:val="00F346FF"/>
    <w:rsid w:val="00F35134"/>
    <w:rsid w:val="00F35833"/>
    <w:rsid w:val="00F371BF"/>
    <w:rsid w:val="00F371D7"/>
    <w:rsid w:val="00F374C9"/>
    <w:rsid w:val="00F4090F"/>
    <w:rsid w:val="00F4106C"/>
    <w:rsid w:val="00F4124B"/>
    <w:rsid w:val="00F41AE0"/>
    <w:rsid w:val="00F420DF"/>
    <w:rsid w:val="00F4280D"/>
    <w:rsid w:val="00F43529"/>
    <w:rsid w:val="00F4383F"/>
    <w:rsid w:val="00F439C7"/>
    <w:rsid w:val="00F43D6C"/>
    <w:rsid w:val="00F44861"/>
    <w:rsid w:val="00F44E54"/>
    <w:rsid w:val="00F45773"/>
    <w:rsid w:val="00F464A9"/>
    <w:rsid w:val="00F46A1F"/>
    <w:rsid w:val="00F46EA0"/>
    <w:rsid w:val="00F46F59"/>
    <w:rsid w:val="00F4726C"/>
    <w:rsid w:val="00F47739"/>
    <w:rsid w:val="00F47F2A"/>
    <w:rsid w:val="00F50F4A"/>
    <w:rsid w:val="00F51458"/>
    <w:rsid w:val="00F514AB"/>
    <w:rsid w:val="00F51597"/>
    <w:rsid w:val="00F51A78"/>
    <w:rsid w:val="00F5216D"/>
    <w:rsid w:val="00F52D0D"/>
    <w:rsid w:val="00F53CEB"/>
    <w:rsid w:val="00F53EE9"/>
    <w:rsid w:val="00F54A76"/>
    <w:rsid w:val="00F5592D"/>
    <w:rsid w:val="00F5596C"/>
    <w:rsid w:val="00F55D67"/>
    <w:rsid w:val="00F564CE"/>
    <w:rsid w:val="00F56660"/>
    <w:rsid w:val="00F56962"/>
    <w:rsid w:val="00F56EE5"/>
    <w:rsid w:val="00F57036"/>
    <w:rsid w:val="00F5775F"/>
    <w:rsid w:val="00F57994"/>
    <w:rsid w:val="00F606BD"/>
    <w:rsid w:val="00F60AFA"/>
    <w:rsid w:val="00F610CD"/>
    <w:rsid w:val="00F615EE"/>
    <w:rsid w:val="00F61801"/>
    <w:rsid w:val="00F62360"/>
    <w:rsid w:val="00F626FC"/>
    <w:rsid w:val="00F62A98"/>
    <w:rsid w:val="00F62CE2"/>
    <w:rsid w:val="00F630EE"/>
    <w:rsid w:val="00F6331B"/>
    <w:rsid w:val="00F6363F"/>
    <w:rsid w:val="00F63DAA"/>
    <w:rsid w:val="00F642C6"/>
    <w:rsid w:val="00F64848"/>
    <w:rsid w:val="00F65D9A"/>
    <w:rsid w:val="00F6616C"/>
    <w:rsid w:val="00F66F60"/>
    <w:rsid w:val="00F67366"/>
    <w:rsid w:val="00F67470"/>
    <w:rsid w:val="00F675E5"/>
    <w:rsid w:val="00F733F3"/>
    <w:rsid w:val="00F7361F"/>
    <w:rsid w:val="00F73734"/>
    <w:rsid w:val="00F73762"/>
    <w:rsid w:val="00F73B8E"/>
    <w:rsid w:val="00F74097"/>
    <w:rsid w:val="00F74B3E"/>
    <w:rsid w:val="00F74CBD"/>
    <w:rsid w:val="00F75139"/>
    <w:rsid w:val="00F7543E"/>
    <w:rsid w:val="00F77E75"/>
    <w:rsid w:val="00F806A1"/>
    <w:rsid w:val="00F80CF2"/>
    <w:rsid w:val="00F81D17"/>
    <w:rsid w:val="00F82113"/>
    <w:rsid w:val="00F82E2E"/>
    <w:rsid w:val="00F82EE5"/>
    <w:rsid w:val="00F83304"/>
    <w:rsid w:val="00F83E06"/>
    <w:rsid w:val="00F851DC"/>
    <w:rsid w:val="00F8595D"/>
    <w:rsid w:val="00F85BEF"/>
    <w:rsid w:val="00F85F98"/>
    <w:rsid w:val="00F8654F"/>
    <w:rsid w:val="00F86650"/>
    <w:rsid w:val="00F87084"/>
    <w:rsid w:val="00F872DD"/>
    <w:rsid w:val="00F873BE"/>
    <w:rsid w:val="00F87710"/>
    <w:rsid w:val="00F901C7"/>
    <w:rsid w:val="00F90348"/>
    <w:rsid w:val="00F90824"/>
    <w:rsid w:val="00F90C32"/>
    <w:rsid w:val="00F917C7"/>
    <w:rsid w:val="00F91ADB"/>
    <w:rsid w:val="00F921DA"/>
    <w:rsid w:val="00F9331D"/>
    <w:rsid w:val="00F93905"/>
    <w:rsid w:val="00F939B1"/>
    <w:rsid w:val="00F949DC"/>
    <w:rsid w:val="00F95634"/>
    <w:rsid w:val="00F95903"/>
    <w:rsid w:val="00F95B64"/>
    <w:rsid w:val="00F962D0"/>
    <w:rsid w:val="00F963AE"/>
    <w:rsid w:val="00F96AEA"/>
    <w:rsid w:val="00F96D2E"/>
    <w:rsid w:val="00FA0DF4"/>
    <w:rsid w:val="00FA10CD"/>
    <w:rsid w:val="00FA1388"/>
    <w:rsid w:val="00FA13E5"/>
    <w:rsid w:val="00FA227C"/>
    <w:rsid w:val="00FA280C"/>
    <w:rsid w:val="00FA2B50"/>
    <w:rsid w:val="00FA2C17"/>
    <w:rsid w:val="00FA2E6C"/>
    <w:rsid w:val="00FA2FD9"/>
    <w:rsid w:val="00FA3D95"/>
    <w:rsid w:val="00FA53D8"/>
    <w:rsid w:val="00FA653E"/>
    <w:rsid w:val="00FA66AD"/>
    <w:rsid w:val="00FA6884"/>
    <w:rsid w:val="00FA7941"/>
    <w:rsid w:val="00FA7C16"/>
    <w:rsid w:val="00FA7F22"/>
    <w:rsid w:val="00FB034C"/>
    <w:rsid w:val="00FB112B"/>
    <w:rsid w:val="00FB169C"/>
    <w:rsid w:val="00FB1B07"/>
    <w:rsid w:val="00FB2904"/>
    <w:rsid w:val="00FB2A4E"/>
    <w:rsid w:val="00FB2F73"/>
    <w:rsid w:val="00FB4BE8"/>
    <w:rsid w:val="00FB56D6"/>
    <w:rsid w:val="00FB585A"/>
    <w:rsid w:val="00FB615A"/>
    <w:rsid w:val="00FB6EC5"/>
    <w:rsid w:val="00FB71AD"/>
    <w:rsid w:val="00FC0072"/>
    <w:rsid w:val="00FC06EC"/>
    <w:rsid w:val="00FC0ED3"/>
    <w:rsid w:val="00FC127E"/>
    <w:rsid w:val="00FC14F9"/>
    <w:rsid w:val="00FC17D1"/>
    <w:rsid w:val="00FC198D"/>
    <w:rsid w:val="00FC199C"/>
    <w:rsid w:val="00FC1D70"/>
    <w:rsid w:val="00FC294E"/>
    <w:rsid w:val="00FC2998"/>
    <w:rsid w:val="00FC2A81"/>
    <w:rsid w:val="00FC33D4"/>
    <w:rsid w:val="00FC375A"/>
    <w:rsid w:val="00FC4138"/>
    <w:rsid w:val="00FC51D9"/>
    <w:rsid w:val="00FC5A7E"/>
    <w:rsid w:val="00FC674D"/>
    <w:rsid w:val="00FC6B38"/>
    <w:rsid w:val="00FC6EE6"/>
    <w:rsid w:val="00FC6F4B"/>
    <w:rsid w:val="00FC7258"/>
    <w:rsid w:val="00FC741D"/>
    <w:rsid w:val="00FC772B"/>
    <w:rsid w:val="00FC7B3D"/>
    <w:rsid w:val="00FD00F1"/>
    <w:rsid w:val="00FD049F"/>
    <w:rsid w:val="00FD0A59"/>
    <w:rsid w:val="00FD0DC7"/>
    <w:rsid w:val="00FD1EDB"/>
    <w:rsid w:val="00FD2D25"/>
    <w:rsid w:val="00FD442D"/>
    <w:rsid w:val="00FD4A22"/>
    <w:rsid w:val="00FD50EA"/>
    <w:rsid w:val="00FD5E04"/>
    <w:rsid w:val="00FD6E0E"/>
    <w:rsid w:val="00FD6F50"/>
    <w:rsid w:val="00FD7EEF"/>
    <w:rsid w:val="00FE0A18"/>
    <w:rsid w:val="00FE1594"/>
    <w:rsid w:val="00FE2B38"/>
    <w:rsid w:val="00FE4190"/>
    <w:rsid w:val="00FE42DA"/>
    <w:rsid w:val="00FE4975"/>
    <w:rsid w:val="00FE4AB7"/>
    <w:rsid w:val="00FE5BCB"/>
    <w:rsid w:val="00FE77F2"/>
    <w:rsid w:val="00FF0535"/>
    <w:rsid w:val="00FF05F7"/>
    <w:rsid w:val="00FF0874"/>
    <w:rsid w:val="00FF0BC0"/>
    <w:rsid w:val="00FF11A7"/>
    <w:rsid w:val="00FF201B"/>
    <w:rsid w:val="00FF2252"/>
    <w:rsid w:val="00FF25FE"/>
    <w:rsid w:val="00FF2A76"/>
    <w:rsid w:val="00FF3126"/>
    <w:rsid w:val="00FF34C9"/>
    <w:rsid w:val="00FF3F00"/>
    <w:rsid w:val="00FF4CF3"/>
    <w:rsid w:val="00FF4E9C"/>
    <w:rsid w:val="00FF5270"/>
    <w:rsid w:val="00FF5BB7"/>
    <w:rsid w:val="00FF5C0A"/>
    <w:rsid w:val="00FF5FE8"/>
    <w:rsid w:val="00FF6862"/>
    <w:rsid w:val="00FF7850"/>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D3FD"/>
  <w15:docId w15:val="{0193E876-9E43-4E8B-9B0E-DE112539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D"/>
    <w:pPr>
      <w:widowControl w:val="0"/>
      <w:jc w:val="both"/>
    </w:pPr>
    <w:rPr>
      <w:kern w:val="2"/>
      <w:sz w:val="21"/>
      <w:szCs w:val="24"/>
    </w:rPr>
  </w:style>
  <w:style w:type="paragraph" w:styleId="1">
    <w:name w:val="heading 1"/>
    <w:basedOn w:val="a"/>
    <w:next w:val="a"/>
    <w:link w:val="1Char"/>
    <w:qFormat/>
    <w:rsid w:val="008615BD"/>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Titr"/>
    <w:basedOn w:val="a"/>
    <w:next w:val="a"/>
    <w:link w:val="2Char"/>
    <w:qFormat/>
    <w:rsid w:val="008615BD"/>
    <w:pPr>
      <w:keepNext/>
      <w:keepLines/>
      <w:spacing w:beforeLines="100" w:afterLines="100"/>
      <w:ind w:firstLineChars="200" w:firstLine="200"/>
      <w:outlineLvl w:val="1"/>
    </w:pPr>
    <w:rPr>
      <w:rFonts w:ascii="Arial" w:hAnsi="Arial"/>
      <w:b/>
      <w:sz w:val="28"/>
      <w:szCs w:val="28"/>
    </w:rPr>
  </w:style>
  <w:style w:type="paragraph" w:styleId="3">
    <w:name w:val="heading 3"/>
    <w:basedOn w:val="a"/>
    <w:next w:val="a"/>
    <w:link w:val="3Char"/>
    <w:qFormat/>
    <w:rsid w:val="008615BD"/>
    <w:pPr>
      <w:numPr>
        <w:ilvl w:val="2"/>
        <w:numId w:val="2"/>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8615BD"/>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8615BD"/>
    <w:pPr>
      <w:keepNext/>
      <w:keepLines/>
      <w:numPr>
        <w:ilvl w:val="4"/>
        <w:numId w:val="1"/>
      </w:numPr>
      <w:spacing w:before="280" w:after="290" w:line="376" w:lineRule="auto"/>
      <w:ind w:firstLineChars="200" w:firstLine="200"/>
      <w:outlineLvl w:val="4"/>
    </w:pPr>
    <w:rPr>
      <w:b/>
      <w:bCs/>
      <w:sz w:val="28"/>
      <w:szCs w:val="28"/>
    </w:rPr>
  </w:style>
  <w:style w:type="paragraph" w:styleId="6">
    <w:name w:val="heading 6"/>
    <w:basedOn w:val="a"/>
    <w:next w:val="a"/>
    <w:link w:val="6Char"/>
    <w:qFormat/>
    <w:rsid w:val="008615BD"/>
    <w:pPr>
      <w:keepNext/>
      <w:keepLines/>
      <w:numPr>
        <w:ilvl w:val="5"/>
        <w:numId w:val="1"/>
      </w:numPr>
      <w:spacing w:before="240" w:after="64" w:line="320" w:lineRule="auto"/>
      <w:ind w:firstLineChars="200" w:firstLine="200"/>
      <w:outlineLvl w:val="5"/>
    </w:pPr>
    <w:rPr>
      <w:rFonts w:ascii="Arial" w:eastAsia="黑体" w:hAnsi="Arial"/>
      <w:b/>
      <w:bCs/>
      <w:sz w:val="24"/>
    </w:rPr>
  </w:style>
  <w:style w:type="paragraph" w:styleId="7">
    <w:name w:val="heading 7"/>
    <w:basedOn w:val="a"/>
    <w:next w:val="a"/>
    <w:link w:val="7Char"/>
    <w:qFormat/>
    <w:rsid w:val="008615BD"/>
    <w:pPr>
      <w:keepNext/>
      <w:keepLines/>
      <w:numPr>
        <w:ilvl w:val="6"/>
        <w:numId w:val="1"/>
      </w:numPr>
      <w:spacing w:before="240" w:after="64" w:line="320" w:lineRule="auto"/>
      <w:ind w:firstLineChars="200" w:firstLine="200"/>
      <w:outlineLvl w:val="6"/>
    </w:pPr>
    <w:rPr>
      <w:b/>
      <w:bCs/>
      <w:sz w:val="24"/>
    </w:rPr>
  </w:style>
  <w:style w:type="paragraph" w:styleId="8">
    <w:name w:val="heading 8"/>
    <w:basedOn w:val="a"/>
    <w:next w:val="a"/>
    <w:link w:val="8Char"/>
    <w:qFormat/>
    <w:rsid w:val="008615BD"/>
    <w:pPr>
      <w:keepNext/>
      <w:keepLines/>
      <w:numPr>
        <w:ilvl w:val="7"/>
        <w:numId w:val="1"/>
      </w:numPr>
      <w:spacing w:before="240" w:after="64" w:line="320" w:lineRule="auto"/>
      <w:ind w:firstLineChars="200" w:firstLine="200"/>
      <w:outlineLvl w:val="7"/>
    </w:pPr>
    <w:rPr>
      <w:rFonts w:ascii="Arial" w:eastAsia="黑体" w:hAnsi="Arial"/>
      <w:sz w:val="24"/>
    </w:rPr>
  </w:style>
  <w:style w:type="paragraph" w:styleId="9">
    <w:name w:val="heading 9"/>
    <w:basedOn w:val="a"/>
    <w:next w:val="a"/>
    <w:link w:val="9Char"/>
    <w:qFormat/>
    <w:rsid w:val="008615BD"/>
    <w:pPr>
      <w:keepNext/>
      <w:keepLines/>
      <w:numPr>
        <w:ilvl w:val="8"/>
        <w:numId w:val="1"/>
      </w:numPr>
      <w:spacing w:before="240" w:after="64" w:line="320" w:lineRule="auto"/>
      <w:ind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autoRedefine/>
    <w:rsid w:val="008615BD"/>
    <w:pPr>
      <w:tabs>
        <w:tab w:val="num" w:pos="360"/>
      </w:tabs>
    </w:pPr>
    <w:rPr>
      <w:sz w:val="24"/>
    </w:rPr>
  </w:style>
  <w:style w:type="paragraph" w:customStyle="1" w:styleId="211">
    <w:name w:val="样式 标题 2 + 段前: 1 行 段后: 1 行"/>
    <w:basedOn w:val="2"/>
    <w:rsid w:val="008615BD"/>
    <w:pPr>
      <w:tabs>
        <w:tab w:val="num" w:pos="3243"/>
      </w:tabs>
      <w:spacing w:before="447" w:after="447"/>
      <w:ind w:left="3243" w:hanging="720"/>
    </w:pPr>
    <w:rPr>
      <w:b w:val="0"/>
      <w:szCs w:val="20"/>
    </w:rPr>
  </w:style>
  <w:style w:type="paragraph" w:customStyle="1" w:styleId="CharCharCharCharCharCharChar">
    <w:name w:val="正文文字 Char Char Char Char Char Char Char"/>
    <w:basedOn w:val="a"/>
    <w:next w:val="30"/>
    <w:rsid w:val="008615BD"/>
    <w:pPr>
      <w:tabs>
        <w:tab w:val="num" w:pos="780"/>
      </w:tabs>
      <w:spacing w:after="120"/>
      <w:ind w:left="780" w:hanging="360"/>
    </w:pPr>
    <w:rPr>
      <w:sz w:val="16"/>
      <w:szCs w:val="16"/>
    </w:rPr>
  </w:style>
  <w:style w:type="paragraph" w:styleId="30">
    <w:name w:val="Body Text 3"/>
    <w:basedOn w:val="a"/>
    <w:link w:val="3Char0"/>
    <w:rsid w:val="008615BD"/>
    <w:pPr>
      <w:spacing w:after="120"/>
    </w:pPr>
    <w:rPr>
      <w:sz w:val="16"/>
      <w:szCs w:val="16"/>
    </w:rPr>
  </w:style>
  <w:style w:type="paragraph" w:styleId="10">
    <w:name w:val="toc 1"/>
    <w:basedOn w:val="a"/>
    <w:next w:val="a"/>
    <w:autoRedefine/>
    <w:uiPriority w:val="39"/>
    <w:rsid w:val="008615BD"/>
    <w:pPr>
      <w:tabs>
        <w:tab w:val="right" w:leader="dot" w:pos="8296"/>
      </w:tabs>
      <w:jc w:val="left"/>
    </w:pPr>
    <w:rPr>
      <w:rFonts w:ascii="宋体" w:eastAsia="黑体" w:hAnsi="宋体"/>
      <w:caps/>
      <w:noProof/>
      <w:sz w:val="24"/>
      <w:szCs w:val="28"/>
    </w:rPr>
  </w:style>
  <w:style w:type="paragraph" w:styleId="20">
    <w:name w:val="toc 2"/>
    <w:basedOn w:val="a"/>
    <w:next w:val="a"/>
    <w:autoRedefine/>
    <w:uiPriority w:val="39"/>
    <w:rsid w:val="008E5341"/>
    <w:pPr>
      <w:tabs>
        <w:tab w:val="left" w:pos="2100"/>
        <w:tab w:val="right" w:leader="dot" w:pos="8268"/>
      </w:tabs>
      <w:ind w:leftChars="200" w:left="420" w:firstLineChars="350" w:firstLine="735"/>
      <w:contextualSpacing/>
      <w:jc w:val="left"/>
      <w:textAlignment w:val="top"/>
    </w:pPr>
    <w:rPr>
      <w:rFonts w:eastAsia="仿宋_GB2312"/>
      <w:smallCaps/>
      <w:noProof/>
      <w:szCs w:val="20"/>
    </w:rPr>
  </w:style>
  <w:style w:type="paragraph" w:customStyle="1" w:styleId="11">
    <w:name w:val="样式 标题 1 + 黑体 非加粗"/>
    <w:basedOn w:val="1"/>
    <w:rsid w:val="008615BD"/>
    <w:pPr>
      <w:pageBreakBefore/>
    </w:pPr>
    <w:rPr>
      <w:rFonts w:hAnsi="黑体"/>
      <w:b/>
    </w:rPr>
  </w:style>
  <w:style w:type="paragraph" w:customStyle="1" w:styleId="111">
    <w:name w:val="样式 标题 1 + 段前: 1 行 段后: 1 行"/>
    <w:basedOn w:val="1"/>
    <w:rsid w:val="008615BD"/>
    <w:pPr>
      <w:pageBreakBefore/>
    </w:pPr>
    <w:rPr>
      <w:szCs w:val="20"/>
    </w:rPr>
  </w:style>
  <w:style w:type="paragraph" w:customStyle="1" w:styleId="115">
    <w:name w:val="样式 标题 1 + 段前: 1.5 行"/>
    <w:basedOn w:val="a"/>
    <w:rsid w:val="008615BD"/>
    <w:pPr>
      <w:tabs>
        <w:tab w:val="num" w:pos="990"/>
      </w:tabs>
      <w:ind w:left="990" w:hanging="840"/>
    </w:pPr>
    <w:rPr>
      <w:sz w:val="24"/>
      <w:szCs w:val="20"/>
    </w:rPr>
  </w:style>
  <w:style w:type="paragraph" w:customStyle="1" w:styleId="21">
    <w:name w:val="样式 首行缩进:  2 字符"/>
    <w:basedOn w:val="a"/>
    <w:rsid w:val="008615BD"/>
    <w:pPr>
      <w:spacing w:before="100" w:beforeAutospacing="1" w:after="100" w:afterAutospacing="1" w:line="360" w:lineRule="auto"/>
      <w:ind w:firstLineChars="200" w:firstLine="480"/>
    </w:pPr>
    <w:rPr>
      <w:szCs w:val="20"/>
    </w:rPr>
  </w:style>
  <w:style w:type="paragraph" w:styleId="a3">
    <w:name w:val="header"/>
    <w:basedOn w:val="a"/>
    <w:link w:val="Char"/>
    <w:uiPriority w:val="99"/>
    <w:rsid w:val="008615BD"/>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4">
    <w:name w:val="page number"/>
    <w:basedOn w:val="a0"/>
    <w:rsid w:val="008615BD"/>
  </w:style>
  <w:style w:type="paragraph" w:styleId="a5">
    <w:name w:val="footer"/>
    <w:basedOn w:val="a"/>
    <w:link w:val="Char0"/>
    <w:uiPriority w:val="99"/>
    <w:rsid w:val="008615BD"/>
    <w:pPr>
      <w:tabs>
        <w:tab w:val="center" w:pos="4153"/>
        <w:tab w:val="right" w:pos="8306"/>
      </w:tabs>
      <w:snapToGrid w:val="0"/>
      <w:ind w:firstLineChars="200" w:firstLine="200"/>
      <w:jc w:val="left"/>
    </w:pPr>
    <w:rPr>
      <w:rFonts w:eastAsia="仿宋_GB2312"/>
      <w:sz w:val="18"/>
      <w:szCs w:val="20"/>
    </w:rPr>
  </w:style>
  <w:style w:type="paragraph" w:customStyle="1" w:styleId="2111111">
    <w:name w:val="样式 样式 样式 标题 2 + 段前: 1 行 段后: 1 行1 + 段前: 1 行 段后: 1 行 + 段前: 1 行 段后..."/>
    <w:basedOn w:val="a"/>
    <w:rsid w:val="008615BD"/>
    <w:pPr>
      <w:keepNext/>
      <w:keepLines/>
      <w:spacing w:beforeLines="100" w:afterLines="100"/>
      <w:outlineLvl w:val="1"/>
    </w:pPr>
    <w:rPr>
      <w:rFonts w:ascii="Arial" w:hAnsi="Arial"/>
      <w:b/>
      <w:bCs/>
      <w:sz w:val="28"/>
      <w:szCs w:val="20"/>
    </w:rPr>
  </w:style>
  <w:style w:type="paragraph" w:customStyle="1" w:styleId="2111">
    <w:name w:val="样式 标题 2 + 段前: 1 行 段后: 1 行1"/>
    <w:basedOn w:val="2"/>
    <w:rsid w:val="008615BD"/>
    <w:pPr>
      <w:ind w:firstLineChars="0" w:firstLine="0"/>
    </w:pPr>
    <w:rPr>
      <w:bCs/>
      <w:szCs w:val="20"/>
    </w:rPr>
  </w:style>
  <w:style w:type="paragraph" w:customStyle="1" w:styleId="211111">
    <w:name w:val="样式 样式 标题 2 + 段前: 1 行 段后: 1 行1 + 段前: 1 行 段后: 1 行"/>
    <w:basedOn w:val="2111"/>
    <w:rsid w:val="008615BD"/>
  </w:style>
  <w:style w:type="character" w:customStyle="1" w:styleId="big1">
    <w:name w:val="big1"/>
    <w:basedOn w:val="a0"/>
    <w:rsid w:val="008615BD"/>
    <w:rPr>
      <w:spacing w:val="360"/>
      <w:sz w:val="22"/>
      <w:szCs w:val="22"/>
    </w:rPr>
  </w:style>
  <w:style w:type="character" w:customStyle="1" w:styleId="read1">
    <w:name w:val="read1"/>
    <w:basedOn w:val="a0"/>
    <w:rsid w:val="008615BD"/>
    <w:rPr>
      <w:rFonts w:ascii="ˎ̥" w:hAnsi="ˎ̥" w:hint="default"/>
      <w:strike w:val="0"/>
      <w:dstrike w:val="0"/>
      <w:color w:val="000000"/>
      <w:u w:val="none"/>
      <w:effect w:val="none"/>
    </w:rPr>
  </w:style>
  <w:style w:type="paragraph" w:styleId="a6">
    <w:name w:val="Title"/>
    <w:basedOn w:val="a"/>
    <w:link w:val="Char1"/>
    <w:qFormat/>
    <w:rsid w:val="008615BD"/>
    <w:pPr>
      <w:spacing w:before="240" w:after="60"/>
      <w:jc w:val="center"/>
      <w:outlineLvl w:val="0"/>
    </w:pPr>
    <w:rPr>
      <w:rFonts w:ascii="Arial" w:hAnsi="Arial" w:cs="Arial"/>
      <w:b/>
      <w:bCs/>
      <w:sz w:val="32"/>
      <w:szCs w:val="32"/>
    </w:rPr>
  </w:style>
  <w:style w:type="paragraph" w:styleId="a7">
    <w:name w:val="Closing"/>
    <w:basedOn w:val="a"/>
    <w:link w:val="Char2"/>
    <w:rsid w:val="008615BD"/>
    <w:pPr>
      <w:ind w:leftChars="2100" w:left="100"/>
    </w:pPr>
  </w:style>
  <w:style w:type="paragraph" w:styleId="a8">
    <w:name w:val="List Number"/>
    <w:basedOn w:val="a"/>
    <w:rsid w:val="008615BD"/>
    <w:pPr>
      <w:tabs>
        <w:tab w:val="num" w:pos="360"/>
      </w:tabs>
      <w:ind w:left="360" w:hangingChars="200" w:hanging="360"/>
    </w:pPr>
  </w:style>
  <w:style w:type="paragraph" w:styleId="22">
    <w:name w:val="List Number 2"/>
    <w:basedOn w:val="a"/>
    <w:rsid w:val="008615BD"/>
    <w:pPr>
      <w:tabs>
        <w:tab w:val="num" w:pos="780"/>
      </w:tabs>
      <w:ind w:leftChars="200" w:left="780" w:hangingChars="200" w:hanging="360"/>
    </w:pPr>
  </w:style>
  <w:style w:type="paragraph" w:styleId="31">
    <w:name w:val="List Number 3"/>
    <w:basedOn w:val="a"/>
    <w:rsid w:val="008615BD"/>
    <w:pPr>
      <w:tabs>
        <w:tab w:val="num" w:pos="1200"/>
      </w:tabs>
      <w:ind w:leftChars="400" w:left="1200" w:hangingChars="200" w:hanging="360"/>
    </w:pPr>
  </w:style>
  <w:style w:type="paragraph" w:styleId="40">
    <w:name w:val="List Number 4"/>
    <w:basedOn w:val="a"/>
    <w:rsid w:val="008615BD"/>
    <w:pPr>
      <w:tabs>
        <w:tab w:val="num" w:pos="1620"/>
      </w:tabs>
      <w:ind w:leftChars="600" w:left="1620" w:hangingChars="200" w:hanging="360"/>
    </w:pPr>
  </w:style>
  <w:style w:type="paragraph" w:styleId="50">
    <w:name w:val="List Number 5"/>
    <w:basedOn w:val="a"/>
    <w:rsid w:val="008615BD"/>
    <w:pPr>
      <w:tabs>
        <w:tab w:val="num" w:pos="2040"/>
      </w:tabs>
      <w:ind w:leftChars="800" w:left="2040" w:hangingChars="200" w:hanging="360"/>
    </w:pPr>
  </w:style>
  <w:style w:type="paragraph" w:styleId="a9">
    <w:name w:val="List Bullet"/>
    <w:basedOn w:val="a"/>
    <w:autoRedefine/>
    <w:rsid w:val="008615BD"/>
    <w:pPr>
      <w:tabs>
        <w:tab w:val="num" w:pos="360"/>
      </w:tabs>
      <w:ind w:left="360" w:hangingChars="200" w:hanging="360"/>
    </w:pPr>
  </w:style>
  <w:style w:type="paragraph" w:styleId="23">
    <w:name w:val="List Bullet 2"/>
    <w:basedOn w:val="a"/>
    <w:autoRedefine/>
    <w:rsid w:val="008615BD"/>
    <w:pPr>
      <w:tabs>
        <w:tab w:val="num" w:pos="780"/>
      </w:tabs>
      <w:ind w:leftChars="200" w:left="780" w:hangingChars="200" w:hanging="360"/>
    </w:pPr>
  </w:style>
  <w:style w:type="paragraph" w:styleId="32">
    <w:name w:val="List Bullet 3"/>
    <w:basedOn w:val="a"/>
    <w:autoRedefine/>
    <w:rsid w:val="008615BD"/>
    <w:pPr>
      <w:tabs>
        <w:tab w:val="num" w:pos="1200"/>
      </w:tabs>
      <w:ind w:leftChars="400" w:left="1200" w:hangingChars="200" w:hanging="360"/>
    </w:pPr>
  </w:style>
  <w:style w:type="paragraph" w:styleId="41">
    <w:name w:val="List Bullet 4"/>
    <w:basedOn w:val="a"/>
    <w:autoRedefine/>
    <w:rsid w:val="008615BD"/>
    <w:pPr>
      <w:tabs>
        <w:tab w:val="num" w:pos="1620"/>
      </w:tabs>
      <w:ind w:leftChars="600" w:left="1620" w:hangingChars="200" w:hanging="360"/>
    </w:pPr>
  </w:style>
  <w:style w:type="paragraph" w:styleId="51">
    <w:name w:val="List Bullet 5"/>
    <w:basedOn w:val="a"/>
    <w:autoRedefine/>
    <w:rsid w:val="008615BD"/>
    <w:pPr>
      <w:tabs>
        <w:tab w:val="num" w:pos="2040"/>
      </w:tabs>
      <w:ind w:leftChars="800" w:left="2040" w:hangingChars="200" w:hanging="360"/>
    </w:pPr>
  </w:style>
  <w:style w:type="paragraph" w:styleId="aa">
    <w:name w:val="table of figures"/>
    <w:basedOn w:val="a"/>
    <w:next w:val="a"/>
    <w:semiHidden/>
    <w:rsid w:val="008615BD"/>
    <w:pPr>
      <w:ind w:leftChars="200" w:left="840" w:hangingChars="200" w:hanging="420"/>
    </w:pPr>
  </w:style>
  <w:style w:type="paragraph" w:styleId="ab">
    <w:name w:val="Body Text"/>
    <w:basedOn w:val="a"/>
    <w:link w:val="Char3"/>
    <w:rsid w:val="008615BD"/>
    <w:pPr>
      <w:spacing w:after="120"/>
    </w:pPr>
  </w:style>
  <w:style w:type="paragraph" w:styleId="ac">
    <w:name w:val="Body Text First Indent"/>
    <w:basedOn w:val="ab"/>
    <w:link w:val="Char4"/>
    <w:rsid w:val="008615BD"/>
    <w:pPr>
      <w:ind w:firstLineChars="100" w:firstLine="420"/>
    </w:pPr>
  </w:style>
  <w:style w:type="paragraph" w:styleId="ad">
    <w:name w:val="Body Text Indent"/>
    <w:basedOn w:val="a"/>
    <w:link w:val="Char5"/>
    <w:rsid w:val="008615BD"/>
    <w:pPr>
      <w:spacing w:after="120"/>
      <w:ind w:left="420"/>
    </w:pPr>
  </w:style>
  <w:style w:type="paragraph" w:styleId="ae">
    <w:name w:val="Note Heading"/>
    <w:basedOn w:val="a"/>
    <w:next w:val="a"/>
    <w:link w:val="Char6"/>
    <w:rsid w:val="008615BD"/>
    <w:pPr>
      <w:jc w:val="center"/>
    </w:pPr>
  </w:style>
  <w:style w:type="character" w:customStyle="1" w:styleId="font141">
    <w:name w:val="font141"/>
    <w:basedOn w:val="a0"/>
    <w:rsid w:val="008615BD"/>
    <w:rPr>
      <w:rFonts w:ascii="宋体" w:eastAsia="宋体" w:hAnsi="宋体" w:hint="eastAsia"/>
      <w:spacing w:val="300"/>
      <w:sz w:val="21"/>
      <w:szCs w:val="21"/>
    </w:rPr>
  </w:style>
  <w:style w:type="character" w:customStyle="1" w:styleId="da">
    <w:name w:val="da"/>
    <w:basedOn w:val="a0"/>
    <w:qFormat/>
    <w:rsid w:val="008615BD"/>
  </w:style>
  <w:style w:type="paragraph" w:customStyle="1" w:styleId="af">
    <w:name w:val="特点"/>
    <w:aliases w:val="表正文,正文非缩进,段1"/>
    <w:basedOn w:val="a"/>
    <w:next w:val="af0"/>
    <w:rsid w:val="008615BD"/>
    <w:pPr>
      <w:ind w:firstLine="420"/>
    </w:pPr>
    <w:rPr>
      <w:szCs w:val="20"/>
    </w:rPr>
  </w:style>
  <w:style w:type="paragraph" w:styleId="af0">
    <w:name w:val="Normal Indent"/>
    <w:aliases w:val="正文缩进1,ALT+Z"/>
    <w:basedOn w:val="a"/>
    <w:rsid w:val="008615BD"/>
    <w:pPr>
      <w:ind w:firstLine="420"/>
    </w:pPr>
  </w:style>
  <w:style w:type="paragraph" w:styleId="33">
    <w:name w:val="Body Text Indent 3"/>
    <w:basedOn w:val="a"/>
    <w:link w:val="3Char1"/>
    <w:rsid w:val="008615BD"/>
    <w:pPr>
      <w:spacing w:after="120"/>
      <w:ind w:left="420"/>
    </w:pPr>
    <w:rPr>
      <w:sz w:val="16"/>
      <w:szCs w:val="16"/>
    </w:rPr>
  </w:style>
  <w:style w:type="paragraph" w:styleId="af1">
    <w:name w:val="Plain Text"/>
    <w:basedOn w:val="a"/>
    <w:link w:val="Char7"/>
    <w:rsid w:val="008615BD"/>
    <w:rPr>
      <w:rFonts w:ascii="宋体" w:hAnsi="Courier New" w:cs="Courier New"/>
      <w:szCs w:val="21"/>
    </w:rPr>
  </w:style>
  <w:style w:type="character" w:styleId="af2">
    <w:name w:val="Hyperlink"/>
    <w:basedOn w:val="a0"/>
    <w:uiPriority w:val="99"/>
    <w:rsid w:val="008615BD"/>
    <w:rPr>
      <w:color w:val="0000FF"/>
      <w:u w:val="single"/>
    </w:rPr>
  </w:style>
  <w:style w:type="paragraph" w:styleId="24">
    <w:name w:val="Body Text Indent 2"/>
    <w:basedOn w:val="a"/>
    <w:link w:val="2Char0"/>
    <w:rsid w:val="008615BD"/>
    <w:pPr>
      <w:spacing w:after="120" w:line="480" w:lineRule="auto"/>
      <w:ind w:left="420"/>
    </w:pPr>
  </w:style>
  <w:style w:type="paragraph" w:styleId="25">
    <w:name w:val="Body Text 2"/>
    <w:basedOn w:val="a"/>
    <w:link w:val="2Char1"/>
    <w:rsid w:val="008615BD"/>
    <w:pPr>
      <w:spacing w:after="120" w:line="480" w:lineRule="auto"/>
    </w:pPr>
  </w:style>
  <w:style w:type="character" w:styleId="af3">
    <w:name w:val="FollowedHyperlink"/>
    <w:basedOn w:val="a0"/>
    <w:rsid w:val="008615BD"/>
    <w:rPr>
      <w:color w:val="800080"/>
      <w:u w:val="single"/>
    </w:rPr>
  </w:style>
  <w:style w:type="paragraph" w:styleId="HTML">
    <w:name w:val="HTML Preformatted"/>
    <w:basedOn w:val="a"/>
    <w:link w:val="HTMLChar"/>
    <w:uiPriority w:val="99"/>
    <w:rsid w:val="008615BD"/>
    <w:rPr>
      <w:rFonts w:ascii="Courier New" w:hAnsi="Courier New" w:cs="Courier New"/>
      <w:sz w:val="20"/>
      <w:szCs w:val="20"/>
    </w:rPr>
  </w:style>
  <w:style w:type="paragraph" w:styleId="af4">
    <w:name w:val="Normal (Web)"/>
    <w:basedOn w:val="a"/>
    <w:rsid w:val="008615BD"/>
    <w:rPr>
      <w:sz w:val="24"/>
    </w:rPr>
  </w:style>
  <w:style w:type="paragraph" w:styleId="af5">
    <w:name w:val="Subtitle"/>
    <w:basedOn w:val="a"/>
    <w:link w:val="Char8"/>
    <w:qFormat/>
    <w:rsid w:val="008615BD"/>
    <w:pPr>
      <w:spacing w:before="240" w:after="60" w:line="312" w:lineRule="auto"/>
      <w:jc w:val="center"/>
      <w:outlineLvl w:val="1"/>
    </w:pPr>
    <w:rPr>
      <w:rFonts w:ascii="Arial" w:hAnsi="Arial" w:cs="Arial"/>
      <w:b/>
      <w:bCs/>
      <w:kern w:val="28"/>
      <w:sz w:val="32"/>
      <w:szCs w:val="32"/>
    </w:rPr>
  </w:style>
  <w:style w:type="paragraph" w:styleId="af6">
    <w:name w:val="Block Text"/>
    <w:basedOn w:val="a"/>
    <w:rsid w:val="008615BD"/>
    <w:pPr>
      <w:spacing w:after="120"/>
      <w:ind w:left="1440" w:right="1440"/>
    </w:pPr>
  </w:style>
  <w:style w:type="character" w:styleId="af7">
    <w:name w:val="Strong"/>
    <w:basedOn w:val="a0"/>
    <w:uiPriority w:val="99"/>
    <w:qFormat/>
    <w:rsid w:val="008615BD"/>
    <w:rPr>
      <w:b/>
      <w:bCs/>
    </w:rPr>
  </w:style>
  <w:style w:type="paragraph" w:styleId="af8">
    <w:name w:val="Document Map"/>
    <w:basedOn w:val="a"/>
    <w:link w:val="Char9"/>
    <w:semiHidden/>
    <w:rsid w:val="008615BD"/>
    <w:pPr>
      <w:shd w:val="clear" w:color="auto" w:fill="000080"/>
    </w:pPr>
  </w:style>
  <w:style w:type="character" w:styleId="af9">
    <w:name w:val="footnote reference"/>
    <w:basedOn w:val="a0"/>
    <w:semiHidden/>
    <w:rsid w:val="008615BD"/>
    <w:rPr>
      <w:vertAlign w:val="superscript"/>
    </w:rPr>
  </w:style>
  <w:style w:type="paragraph" w:customStyle="1" w:styleId="26">
    <w:name w:val="列表2"/>
    <w:basedOn w:val="a"/>
    <w:next w:val="a6"/>
    <w:rsid w:val="008615BD"/>
    <w:pPr>
      <w:tabs>
        <w:tab w:val="num" w:pos="360"/>
      </w:tabs>
      <w:spacing w:line="360" w:lineRule="auto"/>
    </w:pPr>
    <w:rPr>
      <w:rFonts w:ascii="宋体"/>
      <w:szCs w:val="20"/>
    </w:rPr>
  </w:style>
  <w:style w:type="paragraph" w:customStyle="1" w:styleId="12">
    <w:name w:val="列表1"/>
    <w:basedOn w:val="a"/>
    <w:next w:val="a"/>
    <w:rsid w:val="008615BD"/>
    <w:pPr>
      <w:tabs>
        <w:tab w:val="num" w:pos="644"/>
      </w:tabs>
      <w:spacing w:line="360" w:lineRule="auto"/>
      <w:ind w:left="567" w:hanging="283"/>
    </w:pPr>
    <w:rPr>
      <w:szCs w:val="20"/>
    </w:rPr>
  </w:style>
  <w:style w:type="paragraph" w:customStyle="1" w:styleId="2211">
    <w:name w:val="样式 标题 2 + 首行缩进:  2 字符 段前: 1 行 段后: 1 行"/>
    <w:basedOn w:val="2"/>
    <w:rsid w:val="008615BD"/>
    <w:pPr>
      <w:tabs>
        <w:tab w:val="num" w:pos="1276"/>
      </w:tabs>
      <w:spacing w:beforeLines="0" w:afterLines="0"/>
      <w:ind w:left="851" w:firstLineChars="0" w:firstLine="0"/>
    </w:pPr>
    <w:rPr>
      <w:szCs w:val="20"/>
    </w:rPr>
  </w:style>
  <w:style w:type="paragraph" w:styleId="afa">
    <w:name w:val="Balloon Text"/>
    <w:basedOn w:val="a"/>
    <w:link w:val="Chara"/>
    <w:semiHidden/>
    <w:rsid w:val="008615BD"/>
    <w:rPr>
      <w:sz w:val="18"/>
      <w:szCs w:val="18"/>
    </w:rPr>
  </w:style>
  <w:style w:type="character" w:customStyle="1" w:styleId="read">
    <w:name w:val="read"/>
    <w:basedOn w:val="a0"/>
    <w:rsid w:val="008615BD"/>
  </w:style>
  <w:style w:type="paragraph" w:styleId="afb">
    <w:name w:val="annotation subject"/>
    <w:basedOn w:val="afc"/>
    <w:next w:val="afc"/>
    <w:link w:val="Charb"/>
    <w:semiHidden/>
    <w:rsid w:val="008615BD"/>
    <w:rPr>
      <w:b/>
      <w:bCs/>
    </w:rPr>
  </w:style>
  <w:style w:type="paragraph" w:styleId="afc">
    <w:name w:val="annotation text"/>
    <w:basedOn w:val="a"/>
    <w:link w:val="Charc"/>
    <w:rsid w:val="008615BD"/>
    <w:pPr>
      <w:jc w:val="left"/>
    </w:pPr>
  </w:style>
  <w:style w:type="paragraph" w:customStyle="1" w:styleId="13">
    <w:name w:val="1"/>
    <w:basedOn w:val="a"/>
    <w:rsid w:val="008615BD"/>
    <w:pPr>
      <w:spacing w:before="100" w:beforeAutospacing="1" w:after="120" w:afterAutospacing="1" w:line="360" w:lineRule="auto"/>
      <w:ind w:leftChars="200" w:left="420"/>
    </w:pPr>
  </w:style>
  <w:style w:type="character" w:styleId="afd">
    <w:name w:val="annotation reference"/>
    <w:basedOn w:val="a0"/>
    <w:rsid w:val="008615BD"/>
    <w:rPr>
      <w:sz w:val="21"/>
      <w:szCs w:val="21"/>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a"/>
    <w:autoRedefine/>
    <w:rsid w:val="008615BD"/>
    <w:pPr>
      <w:tabs>
        <w:tab w:val="num" w:pos="987"/>
      </w:tabs>
      <w:ind w:left="987" w:hanging="283"/>
    </w:pPr>
    <w:rPr>
      <w:sz w:val="24"/>
    </w:rPr>
  </w:style>
  <w:style w:type="paragraph" w:customStyle="1" w:styleId="afe">
    <w:name w:val="正文所"/>
    <w:basedOn w:val="a"/>
    <w:rsid w:val="006923A2"/>
    <w:pPr>
      <w:spacing w:line="360" w:lineRule="auto"/>
      <w:ind w:firstLineChars="200" w:firstLine="420"/>
    </w:pPr>
  </w:style>
  <w:style w:type="paragraph" w:customStyle="1" w:styleId="ParaChar">
    <w:name w:val="默认段落字体 Para Char"/>
    <w:basedOn w:val="a"/>
    <w:autoRedefine/>
    <w:rsid w:val="008615BD"/>
    <w:pPr>
      <w:tabs>
        <w:tab w:val="num" w:pos="990"/>
      </w:tabs>
      <w:ind w:left="990" w:hanging="840"/>
    </w:pPr>
    <w:rPr>
      <w:sz w:val="24"/>
    </w:rPr>
  </w:style>
  <w:style w:type="paragraph" w:customStyle="1" w:styleId="Chard">
    <w:name w:val="Char"/>
    <w:basedOn w:val="a"/>
    <w:autoRedefine/>
    <w:rsid w:val="008615BD"/>
    <w:pPr>
      <w:tabs>
        <w:tab w:val="num" w:pos="990"/>
      </w:tabs>
      <w:ind w:left="990" w:hanging="840"/>
    </w:pPr>
    <w:rPr>
      <w:sz w:val="24"/>
    </w:rPr>
  </w:style>
  <w:style w:type="paragraph" w:styleId="34">
    <w:name w:val="toc 3"/>
    <w:basedOn w:val="a"/>
    <w:next w:val="a"/>
    <w:autoRedefine/>
    <w:uiPriority w:val="39"/>
    <w:rsid w:val="00AB77B4"/>
    <w:pPr>
      <w:ind w:leftChars="400" w:left="840"/>
    </w:pPr>
  </w:style>
  <w:style w:type="paragraph" w:styleId="42">
    <w:name w:val="toc 4"/>
    <w:basedOn w:val="a"/>
    <w:next w:val="a"/>
    <w:autoRedefine/>
    <w:uiPriority w:val="39"/>
    <w:rsid w:val="00AB77B4"/>
    <w:pPr>
      <w:ind w:leftChars="600" w:left="1260"/>
    </w:pPr>
  </w:style>
  <w:style w:type="paragraph" w:styleId="52">
    <w:name w:val="toc 5"/>
    <w:basedOn w:val="a"/>
    <w:next w:val="a"/>
    <w:autoRedefine/>
    <w:uiPriority w:val="39"/>
    <w:rsid w:val="00AB77B4"/>
    <w:pPr>
      <w:ind w:leftChars="800" w:left="1680"/>
    </w:pPr>
  </w:style>
  <w:style w:type="paragraph" w:styleId="60">
    <w:name w:val="toc 6"/>
    <w:basedOn w:val="a"/>
    <w:next w:val="a"/>
    <w:autoRedefine/>
    <w:uiPriority w:val="39"/>
    <w:rsid w:val="00AB77B4"/>
    <w:pPr>
      <w:ind w:leftChars="1000" w:left="2100"/>
    </w:pPr>
  </w:style>
  <w:style w:type="paragraph" w:styleId="70">
    <w:name w:val="toc 7"/>
    <w:basedOn w:val="a"/>
    <w:next w:val="a"/>
    <w:autoRedefine/>
    <w:uiPriority w:val="39"/>
    <w:rsid w:val="00AB77B4"/>
    <w:pPr>
      <w:ind w:leftChars="1200" w:left="2520"/>
    </w:pPr>
  </w:style>
  <w:style w:type="paragraph" w:styleId="80">
    <w:name w:val="toc 8"/>
    <w:basedOn w:val="a"/>
    <w:next w:val="a"/>
    <w:autoRedefine/>
    <w:uiPriority w:val="39"/>
    <w:rsid w:val="00AB77B4"/>
    <w:pPr>
      <w:ind w:leftChars="1400" w:left="2940"/>
    </w:pPr>
  </w:style>
  <w:style w:type="paragraph" w:styleId="90">
    <w:name w:val="toc 9"/>
    <w:basedOn w:val="a"/>
    <w:next w:val="a"/>
    <w:autoRedefine/>
    <w:uiPriority w:val="39"/>
    <w:rsid w:val="00AB77B4"/>
    <w:pPr>
      <w:ind w:leftChars="1600" w:left="3360"/>
    </w:pPr>
  </w:style>
  <w:style w:type="paragraph" w:customStyle="1" w:styleId="AODocTxt">
    <w:name w:val="AODocTxt"/>
    <w:basedOn w:val="a"/>
    <w:rsid w:val="00785666"/>
    <w:pPr>
      <w:widowControl/>
      <w:spacing w:before="240" w:line="260" w:lineRule="atLeast"/>
      <w:jc w:val="left"/>
    </w:pPr>
    <w:rPr>
      <w:kern w:val="0"/>
      <w:sz w:val="22"/>
      <w:szCs w:val="22"/>
      <w:lang w:val="en-GB" w:eastAsia="en-US"/>
    </w:rPr>
  </w:style>
  <w:style w:type="character" w:styleId="HTML0">
    <w:name w:val="HTML Typewriter"/>
    <w:basedOn w:val="a0"/>
    <w:uiPriority w:val="99"/>
    <w:rsid w:val="00785666"/>
    <w:rPr>
      <w:rFonts w:ascii="Arial Unicode MS" w:eastAsia="Arial Unicode MS" w:hAnsi="Arial Unicode MS" w:cs="Arial Unicode MS"/>
      <w:kern w:val="2"/>
      <w:sz w:val="20"/>
      <w:szCs w:val="20"/>
      <w:lang w:val="en-US" w:eastAsia="zh-CN" w:bidi="ar-SA"/>
    </w:rPr>
  </w:style>
  <w:style w:type="paragraph" w:customStyle="1" w:styleId="CM59">
    <w:name w:val="CM59"/>
    <w:basedOn w:val="a"/>
    <w:next w:val="a"/>
    <w:rsid w:val="00180137"/>
    <w:pPr>
      <w:autoSpaceDE w:val="0"/>
      <w:autoSpaceDN w:val="0"/>
      <w:adjustRightInd w:val="0"/>
      <w:spacing w:after="110"/>
      <w:jc w:val="left"/>
    </w:pPr>
    <w:rPr>
      <w:rFonts w:ascii="宋体"/>
      <w:kern w:val="0"/>
      <w:sz w:val="24"/>
    </w:rPr>
  </w:style>
  <w:style w:type="paragraph" w:customStyle="1" w:styleId="CM55">
    <w:name w:val="CM55"/>
    <w:basedOn w:val="a"/>
    <w:next w:val="a"/>
    <w:rsid w:val="00C97405"/>
    <w:pPr>
      <w:autoSpaceDE w:val="0"/>
      <w:autoSpaceDN w:val="0"/>
      <w:adjustRightInd w:val="0"/>
      <w:spacing w:after="270"/>
      <w:jc w:val="left"/>
    </w:pPr>
    <w:rPr>
      <w:rFonts w:ascii="宋体"/>
      <w:kern w:val="0"/>
      <w:sz w:val="24"/>
    </w:rPr>
  </w:style>
  <w:style w:type="paragraph" w:customStyle="1" w:styleId="Default">
    <w:name w:val="Default"/>
    <w:rsid w:val="007137FA"/>
    <w:pPr>
      <w:widowControl w:val="0"/>
      <w:autoSpaceDE w:val="0"/>
      <w:autoSpaceDN w:val="0"/>
      <w:adjustRightInd w:val="0"/>
    </w:pPr>
    <w:rPr>
      <w:rFonts w:ascii="宋体" w:cs="宋体"/>
      <w:color w:val="000000"/>
      <w:sz w:val="24"/>
      <w:szCs w:val="24"/>
    </w:rPr>
  </w:style>
  <w:style w:type="table" w:styleId="aff">
    <w:name w:val="Table Grid"/>
    <w:basedOn w:val="a1"/>
    <w:uiPriority w:val="99"/>
    <w:rsid w:val="00181C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页脚 Char"/>
    <w:basedOn w:val="a0"/>
    <w:link w:val="a5"/>
    <w:uiPriority w:val="99"/>
    <w:rsid w:val="00A63790"/>
    <w:rPr>
      <w:rFonts w:eastAsia="仿宋_GB2312"/>
      <w:kern w:val="2"/>
      <w:sz w:val="18"/>
    </w:rPr>
  </w:style>
  <w:style w:type="character" w:customStyle="1" w:styleId="Charc">
    <w:name w:val="批注文字 Char"/>
    <w:basedOn w:val="a0"/>
    <w:link w:val="afc"/>
    <w:rsid w:val="009C1E1B"/>
    <w:rPr>
      <w:kern w:val="2"/>
      <w:sz w:val="21"/>
      <w:szCs w:val="24"/>
    </w:rPr>
  </w:style>
  <w:style w:type="paragraph" w:styleId="aff0">
    <w:name w:val="Revision"/>
    <w:hidden/>
    <w:uiPriority w:val="99"/>
    <w:semiHidden/>
    <w:rsid w:val="00F161EE"/>
    <w:rPr>
      <w:kern w:val="2"/>
      <w:sz w:val="21"/>
      <w:szCs w:val="24"/>
    </w:rPr>
  </w:style>
  <w:style w:type="character" w:customStyle="1" w:styleId="CharChar2">
    <w:name w:val="Char Char2"/>
    <w:basedOn w:val="a0"/>
    <w:semiHidden/>
    <w:rsid w:val="00FD5E04"/>
    <w:rPr>
      <w:rFonts w:eastAsia="宋体"/>
      <w:kern w:val="2"/>
      <w:sz w:val="21"/>
      <w:szCs w:val="24"/>
      <w:lang w:val="en-US" w:eastAsia="zh-CN" w:bidi="ar-SA"/>
    </w:rPr>
  </w:style>
  <w:style w:type="character" w:styleId="aff1">
    <w:name w:val="Emphasis"/>
    <w:basedOn w:val="a0"/>
    <w:qFormat/>
    <w:rsid w:val="00557861"/>
    <w:rPr>
      <w:i/>
      <w:iCs/>
    </w:rPr>
  </w:style>
  <w:style w:type="paragraph" w:styleId="aff2">
    <w:name w:val="Date"/>
    <w:basedOn w:val="a"/>
    <w:next w:val="a"/>
    <w:link w:val="Chare"/>
    <w:rsid w:val="00294707"/>
    <w:pPr>
      <w:ind w:leftChars="2500" w:left="100"/>
    </w:pPr>
  </w:style>
  <w:style w:type="character" w:customStyle="1" w:styleId="Chare">
    <w:name w:val="日期 Char"/>
    <w:basedOn w:val="a0"/>
    <w:link w:val="aff2"/>
    <w:rsid w:val="00294707"/>
    <w:rPr>
      <w:kern w:val="2"/>
      <w:sz w:val="21"/>
      <w:szCs w:val="24"/>
    </w:rPr>
  </w:style>
  <w:style w:type="character" w:customStyle="1" w:styleId="Char7">
    <w:name w:val="纯文本 Char"/>
    <w:basedOn w:val="a0"/>
    <w:link w:val="af1"/>
    <w:locked/>
    <w:rsid w:val="00855ED5"/>
    <w:rPr>
      <w:rFonts w:ascii="宋体" w:eastAsia="宋体" w:hAnsi="Courier New" w:cs="Courier New"/>
      <w:kern w:val="2"/>
      <w:sz w:val="21"/>
      <w:szCs w:val="21"/>
      <w:lang w:val="en-US" w:eastAsia="zh-CN" w:bidi="ar-SA"/>
    </w:rPr>
  </w:style>
  <w:style w:type="character" w:customStyle="1" w:styleId="CharChar11">
    <w:name w:val="Char Char11"/>
    <w:basedOn w:val="a0"/>
    <w:locked/>
    <w:rsid w:val="007B7DFA"/>
    <w:rPr>
      <w:rFonts w:ascii="宋体" w:eastAsia="宋体" w:hAnsi="Courier New" w:cs="Courier New"/>
      <w:kern w:val="2"/>
      <w:sz w:val="21"/>
      <w:szCs w:val="21"/>
      <w:lang w:val="en-US" w:eastAsia="zh-CN" w:bidi="ar-SA"/>
    </w:rPr>
  </w:style>
  <w:style w:type="character" w:customStyle="1" w:styleId="Char10">
    <w:name w:val="纯文本 Char1"/>
    <w:basedOn w:val="a0"/>
    <w:semiHidden/>
    <w:locked/>
    <w:rsid w:val="005D6E0F"/>
    <w:rPr>
      <w:rFonts w:ascii="宋体" w:hAnsi="Courier New" w:cs="Courier New"/>
      <w:kern w:val="2"/>
      <w:sz w:val="21"/>
      <w:szCs w:val="21"/>
    </w:rPr>
  </w:style>
  <w:style w:type="paragraph" w:styleId="aff3">
    <w:name w:val="List Paragraph"/>
    <w:basedOn w:val="a"/>
    <w:uiPriority w:val="34"/>
    <w:qFormat/>
    <w:rsid w:val="0069108D"/>
    <w:pPr>
      <w:ind w:firstLineChars="200" w:firstLine="420"/>
    </w:pPr>
  </w:style>
  <w:style w:type="character" w:customStyle="1" w:styleId="HTMLChar">
    <w:name w:val="HTML 预设格式 Char"/>
    <w:basedOn w:val="a0"/>
    <w:link w:val="HTML"/>
    <w:uiPriority w:val="99"/>
    <w:rsid w:val="006776E1"/>
    <w:rPr>
      <w:rFonts w:ascii="Courier New" w:hAnsi="Courier New" w:cs="Courier New"/>
      <w:kern w:val="2"/>
    </w:rPr>
  </w:style>
  <w:style w:type="character" w:customStyle="1" w:styleId="1Char">
    <w:name w:val="标题 1 Char"/>
    <w:link w:val="1"/>
    <w:rsid w:val="00EA7433"/>
    <w:rPr>
      <w:rFonts w:ascii="黑体" w:eastAsia="黑体"/>
      <w:kern w:val="2"/>
      <w:sz w:val="32"/>
      <w:szCs w:val="32"/>
    </w:rPr>
  </w:style>
  <w:style w:type="character" w:customStyle="1" w:styleId="2Char">
    <w:name w:val="标题 2 Char"/>
    <w:aliases w:val="H2 Char,Heading 2 Hidden Char,Heading 2 CCBS Char,标题 2 Char Char Char,2nd level Char,h2 Char,2 Char,Header 2 Char,PIM2 Char,l2 Char,Level 2 Head Char,proj2 Char,proj21 Char,proj22 Char,proj23 Char,proj24 Char,proj25 Char,proj26 Char,Titr Char"/>
    <w:link w:val="2"/>
    <w:rsid w:val="00EA7433"/>
    <w:rPr>
      <w:rFonts w:ascii="Arial" w:hAnsi="Arial"/>
      <w:b/>
      <w:kern w:val="2"/>
      <w:sz w:val="28"/>
      <w:szCs w:val="28"/>
    </w:rPr>
  </w:style>
  <w:style w:type="character" w:customStyle="1" w:styleId="3Char">
    <w:name w:val="标题 3 Char"/>
    <w:link w:val="3"/>
    <w:rsid w:val="00EA7433"/>
    <w:rPr>
      <w:rFonts w:ascii="仿宋_GB2312" w:eastAsia="仿宋_GB2312"/>
      <w:kern w:val="2"/>
      <w:sz w:val="24"/>
    </w:rPr>
  </w:style>
  <w:style w:type="character" w:customStyle="1" w:styleId="4Char">
    <w:name w:val="标题 4 Char"/>
    <w:link w:val="4"/>
    <w:rsid w:val="00EA7433"/>
    <w:rPr>
      <w:rFonts w:ascii="Arial" w:eastAsia="黑体" w:hAnsi="Arial"/>
      <w:b/>
      <w:bCs/>
      <w:kern w:val="2"/>
      <w:sz w:val="28"/>
      <w:szCs w:val="28"/>
    </w:rPr>
  </w:style>
  <w:style w:type="character" w:customStyle="1" w:styleId="5Char">
    <w:name w:val="标题 5 Char"/>
    <w:link w:val="5"/>
    <w:rsid w:val="00EA7433"/>
    <w:rPr>
      <w:b/>
      <w:bCs/>
      <w:kern w:val="2"/>
      <w:sz w:val="28"/>
      <w:szCs w:val="28"/>
    </w:rPr>
  </w:style>
  <w:style w:type="character" w:customStyle="1" w:styleId="6Char">
    <w:name w:val="标题 6 Char"/>
    <w:link w:val="6"/>
    <w:rsid w:val="00EA7433"/>
    <w:rPr>
      <w:rFonts w:ascii="Arial" w:eastAsia="黑体" w:hAnsi="Arial"/>
      <w:b/>
      <w:bCs/>
      <w:kern w:val="2"/>
      <w:sz w:val="24"/>
      <w:szCs w:val="24"/>
    </w:rPr>
  </w:style>
  <w:style w:type="character" w:customStyle="1" w:styleId="7Char">
    <w:name w:val="标题 7 Char"/>
    <w:link w:val="7"/>
    <w:rsid w:val="00EA7433"/>
    <w:rPr>
      <w:b/>
      <w:bCs/>
      <w:kern w:val="2"/>
      <w:sz w:val="24"/>
      <w:szCs w:val="24"/>
    </w:rPr>
  </w:style>
  <w:style w:type="character" w:customStyle="1" w:styleId="8Char">
    <w:name w:val="标题 8 Char"/>
    <w:link w:val="8"/>
    <w:rsid w:val="00EA7433"/>
    <w:rPr>
      <w:rFonts w:ascii="Arial" w:eastAsia="黑体" w:hAnsi="Arial"/>
      <w:kern w:val="2"/>
      <w:sz w:val="24"/>
      <w:szCs w:val="24"/>
    </w:rPr>
  </w:style>
  <w:style w:type="character" w:customStyle="1" w:styleId="9Char">
    <w:name w:val="标题 9 Char"/>
    <w:link w:val="9"/>
    <w:rsid w:val="00EA7433"/>
    <w:rPr>
      <w:rFonts w:ascii="Arial" w:eastAsia="黑体" w:hAnsi="Arial"/>
      <w:kern w:val="2"/>
      <w:sz w:val="24"/>
      <w:szCs w:val="21"/>
    </w:rPr>
  </w:style>
  <w:style w:type="character" w:customStyle="1" w:styleId="3Char0">
    <w:name w:val="正文文本 3 Char"/>
    <w:link w:val="30"/>
    <w:rsid w:val="00EA7433"/>
    <w:rPr>
      <w:kern w:val="2"/>
      <w:sz w:val="16"/>
      <w:szCs w:val="16"/>
    </w:rPr>
  </w:style>
  <w:style w:type="character" w:customStyle="1" w:styleId="Char">
    <w:name w:val="页眉 Char"/>
    <w:link w:val="a3"/>
    <w:uiPriority w:val="99"/>
    <w:rsid w:val="00EA7433"/>
    <w:rPr>
      <w:rFonts w:eastAsia="仿宋_GB2312"/>
      <w:kern w:val="2"/>
      <w:sz w:val="18"/>
    </w:rPr>
  </w:style>
  <w:style w:type="character" w:customStyle="1" w:styleId="Char1">
    <w:name w:val="标题 Char"/>
    <w:link w:val="a6"/>
    <w:rsid w:val="00EA7433"/>
    <w:rPr>
      <w:rFonts w:ascii="Arial" w:hAnsi="Arial" w:cs="Arial"/>
      <w:b/>
      <w:bCs/>
      <w:kern w:val="2"/>
      <w:sz w:val="32"/>
      <w:szCs w:val="32"/>
    </w:rPr>
  </w:style>
  <w:style w:type="character" w:customStyle="1" w:styleId="Char2">
    <w:name w:val="结束语 Char"/>
    <w:link w:val="a7"/>
    <w:rsid w:val="00EA7433"/>
    <w:rPr>
      <w:kern w:val="2"/>
      <w:sz w:val="21"/>
      <w:szCs w:val="24"/>
    </w:rPr>
  </w:style>
  <w:style w:type="character" w:customStyle="1" w:styleId="Char3">
    <w:name w:val="正文文本 Char"/>
    <w:link w:val="ab"/>
    <w:rsid w:val="00EA7433"/>
    <w:rPr>
      <w:kern w:val="2"/>
      <w:sz w:val="21"/>
      <w:szCs w:val="24"/>
    </w:rPr>
  </w:style>
  <w:style w:type="character" w:customStyle="1" w:styleId="Char4">
    <w:name w:val="正文首行缩进 Char"/>
    <w:basedOn w:val="Char3"/>
    <w:link w:val="ac"/>
    <w:rsid w:val="00EA7433"/>
    <w:rPr>
      <w:kern w:val="2"/>
      <w:sz w:val="21"/>
      <w:szCs w:val="24"/>
    </w:rPr>
  </w:style>
  <w:style w:type="character" w:customStyle="1" w:styleId="Char5">
    <w:name w:val="正文文本缩进 Char"/>
    <w:link w:val="ad"/>
    <w:rsid w:val="00EA7433"/>
    <w:rPr>
      <w:kern w:val="2"/>
      <w:sz w:val="21"/>
      <w:szCs w:val="24"/>
    </w:rPr>
  </w:style>
  <w:style w:type="character" w:customStyle="1" w:styleId="Char6">
    <w:name w:val="注释标题 Char"/>
    <w:link w:val="ae"/>
    <w:rsid w:val="00EA7433"/>
    <w:rPr>
      <w:kern w:val="2"/>
      <w:sz w:val="21"/>
      <w:szCs w:val="24"/>
    </w:rPr>
  </w:style>
  <w:style w:type="character" w:customStyle="1" w:styleId="3Char1">
    <w:name w:val="正文文本缩进 3 Char"/>
    <w:link w:val="33"/>
    <w:rsid w:val="00EA7433"/>
    <w:rPr>
      <w:kern w:val="2"/>
      <w:sz w:val="16"/>
      <w:szCs w:val="16"/>
    </w:rPr>
  </w:style>
  <w:style w:type="character" w:customStyle="1" w:styleId="2Char0">
    <w:name w:val="正文文本缩进 2 Char"/>
    <w:link w:val="24"/>
    <w:rsid w:val="00EA7433"/>
    <w:rPr>
      <w:kern w:val="2"/>
      <w:sz w:val="21"/>
      <w:szCs w:val="24"/>
    </w:rPr>
  </w:style>
  <w:style w:type="character" w:customStyle="1" w:styleId="2Char1">
    <w:name w:val="正文文本 2 Char"/>
    <w:link w:val="25"/>
    <w:rsid w:val="00EA7433"/>
    <w:rPr>
      <w:kern w:val="2"/>
      <w:sz w:val="21"/>
      <w:szCs w:val="24"/>
    </w:rPr>
  </w:style>
  <w:style w:type="character" w:customStyle="1" w:styleId="14">
    <w:name w:val="已访问的超链接1"/>
    <w:rsid w:val="00EA7433"/>
    <w:rPr>
      <w:color w:val="800080"/>
      <w:u w:val="single"/>
    </w:rPr>
  </w:style>
  <w:style w:type="character" w:customStyle="1" w:styleId="Char8">
    <w:name w:val="副标题 Char"/>
    <w:link w:val="af5"/>
    <w:rsid w:val="00EA7433"/>
    <w:rPr>
      <w:rFonts w:ascii="Arial" w:hAnsi="Arial" w:cs="Arial"/>
      <w:b/>
      <w:bCs/>
      <w:kern w:val="28"/>
      <w:sz w:val="32"/>
      <w:szCs w:val="32"/>
    </w:rPr>
  </w:style>
  <w:style w:type="character" w:customStyle="1" w:styleId="Char9">
    <w:name w:val="文档结构图 Char"/>
    <w:link w:val="af8"/>
    <w:semiHidden/>
    <w:rsid w:val="00EA7433"/>
    <w:rPr>
      <w:kern w:val="2"/>
      <w:sz w:val="21"/>
      <w:szCs w:val="24"/>
      <w:shd w:val="clear" w:color="auto" w:fill="000080"/>
    </w:rPr>
  </w:style>
  <w:style w:type="character" w:customStyle="1" w:styleId="Chara">
    <w:name w:val="批注框文本 Char"/>
    <w:link w:val="afa"/>
    <w:semiHidden/>
    <w:rsid w:val="00EA7433"/>
    <w:rPr>
      <w:kern w:val="2"/>
      <w:sz w:val="18"/>
      <w:szCs w:val="18"/>
    </w:rPr>
  </w:style>
  <w:style w:type="character" w:customStyle="1" w:styleId="Charb">
    <w:name w:val="批注主题 Char"/>
    <w:link w:val="afb"/>
    <w:semiHidden/>
    <w:rsid w:val="00EA7433"/>
    <w:rPr>
      <w:b/>
      <w:bCs/>
      <w:kern w:val="2"/>
      <w:sz w:val="21"/>
      <w:szCs w:val="24"/>
    </w:rPr>
  </w:style>
  <w:style w:type="character" w:customStyle="1" w:styleId="t1">
    <w:name w:val="t1"/>
    <w:uiPriority w:val="99"/>
    <w:rsid w:val="00EA7433"/>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434">
      <w:bodyDiv w:val="1"/>
      <w:marLeft w:val="0"/>
      <w:marRight w:val="0"/>
      <w:marTop w:val="0"/>
      <w:marBottom w:val="0"/>
      <w:divBdr>
        <w:top w:val="none" w:sz="0" w:space="0" w:color="auto"/>
        <w:left w:val="none" w:sz="0" w:space="0" w:color="auto"/>
        <w:bottom w:val="none" w:sz="0" w:space="0" w:color="auto"/>
        <w:right w:val="none" w:sz="0" w:space="0" w:color="auto"/>
      </w:divBdr>
    </w:div>
    <w:div w:id="10688873">
      <w:bodyDiv w:val="1"/>
      <w:marLeft w:val="0"/>
      <w:marRight w:val="0"/>
      <w:marTop w:val="0"/>
      <w:marBottom w:val="0"/>
      <w:divBdr>
        <w:top w:val="none" w:sz="0" w:space="0" w:color="auto"/>
        <w:left w:val="none" w:sz="0" w:space="0" w:color="auto"/>
        <w:bottom w:val="none" w:sz="0" w:space="0" w:color="auto"/>
        <w:right w:val="none" w:sz="0" w:space="0" w:color="auto"/>
      </w:divBdr>
    </w:div>
    <w:div w:id="24864747">
      <w:bodyDiv w:val="1"/>
      <w:marLeft w:val="0"/>
      <w:marRight w:val="0"/>
      <w:marTop w:val="0"/>
      <w:marBottom w:val="0"/>
      <w:divBdr>
        <w:top w:val="none" w:sz="0" w:space="0" w:color="auto"/>
        <w:left w:val="none" w:sz="0" w:space="0" w:color="auto"/>
        <w:bottom w:val="none" w:sz="0" w:space="0" w:color="auto"/>
        <w:right w:val="none" w:sz="0" w:space="0" w:color="auto"/>
      </w:divBdr>
    </w:div>
    <w:div w:id="30766529">
      <w:bodyDiv w:val="1"/>
      <w:marLeft w:val="0"/>
      <w:marRight w:val="0"/>
      <w:marTop w:val="0"/>
      <w:marBottom w:val="0"/>
      <w:divBdr>
        <w:top w:val="none" w:sz="0" w:space="0" w:color="auto"/>
        <w:left w:val="none" w:sz="0" w:space="0" w:color="auto"/>
        <w:bottom w:val="none" w:sz="0" w:space="0" w:color="auto"/>
        <w:right w:val="none" w:sz="0" w:space="0" w:color="auto"/>
      </w:divBdr>
    </w:div>
    <w:div w:id="31151343">
      <w:bodyDiv w:val="1"/>
      <w:marLeft w:val="0"/>
      <w:marRight w:val="0"/>
      <w:marTop w:val="0"/>
      <w:marBottom w:val="0"/>
      <w:divBdr>
        <w:top w:val="none" w:sz="0" w:space="0" w:color="auto"/>
        <w:left w:val="none" w:sz="0" w:space="0" w:color="auto"/>
        <w:bottom w:val="none" w:sz="0" w:space="0" w:color="auto"/>
        <w:right w:val="none" w:sz="0" w:space="0" w:color="auto"/>
      </w:divBdr>
    </w:div>
    <w:div w:id="54160832">
      <w:bodyDiv w:val="1"/>
      <w:marLeft w:val="0"/>
      <w:marRight w:val="0"/>
      <w:marTop w:val="0"/>
      <w:marBottom w:val="0"/>
      <w:divBdr>
        <w:top w:val="none" w:sz="0" w:space="0" w:color="auto"/>
        <w:left w:val="none" w:sz="0" w:space="0" w:color="auto"/>
        <w:bottom w:val="none" w:sz="0" w:space="0" w:color="auto"/>
        <w:right w:val="none" w:sz="0" w:space="0" w:color="auto"/>
      </w:divBdr>
    </w:div>
    <w:div w:id="57359584">
      <w:bodyDiv w:val="1"/>
      <w:marLeft w:val="0"/>
      <w:marRight w:val="0"/>
      <w:marTop w:val="0"/>
      <w:marBottom w:val="0"/>
      <w:divBdr>
        <w:top w:val="none" w:sz="0" w:space="0" w:color="auto"/>
        <w:left w:val="none" w:sz="0" w:space="0" w:color="auto"/>
        <w:bottom w:val="none" w:sz="0" w:space="0" w:color="auto"/>
        <w:right w:val="none" w:sz="0" w:space="0" w:color="auto"/>
      </w:divBdr>
    </w:div>
    <w:div w:id="66464730">
      <w:bodyDiv w:val="1"/>
      <w:marLeft w:val="0"/>
      <w:marRight w:val="0"/>
      <w:marTop w:val="0"/>
      <w:marBottom w:val="0"/>
      <w:divBdr>
        <w:top w:val="none" w:sz="0" w:space="0" w:color="auto"/>
        <w:left w:val="none" w:sz="0" w:space="0" w:color="auto"/>
        <w:bottom w:val="none" w:sz="0" w:space="0" w:color="auto"/>
        <w:right w:val="none" w:sz="0" w:space="0" w:color="auto"/>
      </w:divBdr>
    </w:div>
    <w:div w:id="80417944">
      <w:bodyDiv w:val="1"/>
      <w:marLeft w:val="0"/>
      <w:marRight w:val="0"/>
      <w:marTop w:val="0"/>
      <w:marBottom w:val="0"/>
      <w:divBdr>
        <w:top w:val="none" w:sz="0" w:space="0" w:color="auto"/>
        <w:left w:val="none" w:sz="0" w:space="0" w:color="auto"/>
        <w:bottom w:val="none" w:sz="0" w:space="0" w:color="auto"/>
        <w:right w:val="none" w:sz="0" w:space="0" w:color="auto"/>
      </w:divBdr>
    </w:div>
    <w:div w:id="104159038">
      <w:bodyDiv w:val="1"/>
      <w:marLeft w:val="0"/>
      <w:marRight w:val="0"/>
      <w:marTop w:val="0"/>
      <w:marBottom w:val="0"/>
      <w:divBdr>
        <w:top w:val="none" w:sz="0" w:space="0" w:color="auto"/>
        <w:left w:val="none" w:sz="0" w:space="0" w:color="auto"/>
        <w:bottom w:val="none" w:sz="0" w:space="0" w:color="auto"/>
        <w:right w:val="none" w:sz="0" w:space="0" w:color="auto"/>
      </w:divBdr>
    </w:div>
    <w:div w:id="106773501">
      <w:bodyDiv w:val="1"/>
      <w:marLeft w:val="0"/>
      <w:marRight w:val="0"/>
      <w:marTop w:val="0"/>
      <w:marBottom w:val="0"/>
      <w:divBdr>
        <w:top w:val="none" w:sz="0" w:space="0" w:color="auto"/>
        <w:left w:val="none" w:sz="0" w:space="0" w:color="auto"/>
        <w:bottom w:val="none" w:sz="0" w:space="0" w:color="auto"/>
        <w:right w:val="none" w:sz="0" w:space="0" w:color="auto"/>
      </w:divBdr>
    </w:div>
    <w:div w:id="121584891">
      <w:bodyDiv w:val="1"/>
      <w:marLeft w:val="0"/>
      <w:marRight w:val="0"/>
      <w:marTop w:val="0"/>
      <w:marBottom w:val="0"/>
      <w:divBdr>
        <w:top w:val="none" w:sz="0" w:space="0" w:color="auto"/>
        <w:left w:val="none" w:sz="0" w:space="0" w:color="auto"/>
        <w:bottom w:val="none" w:sz="0" w:space="0" w:color="auto"/>
        <w:right w:val="none" w:sz="0" w:space="0" w:color="auto"/>
      </w:divBdr>
    </w:div>
    <w:div w:id="128867981">
      <w:bodyDiv w:val="1"/>
      <w:marLeft w:val="0"/>
      <w:marRight w:val="0"/>
      <w:marTop w:val="0"/>
      <w:marBottom w:val="0"/>
      <w:divBdr>
        <w:top w:val="none" w:sz="0" w:space="0" w:color="auto"/>
        <w:left w:val="none" w:sz="0" w:space="0" w:color="auto"/>
        <w:bottom w:val="none" w:sz="0" w:space="0" w:color="auto"/>
        <w:right w:val="none" w:sz="0" w:space="0" w:color="auto"/>
      </w:divBdr>
    </w:div>
    <w:div w:id="136918527">
      <w:bodyDiv w:val="1"/>
      <w:marLeft w:val="0"/>
      <w:marRight w:val="0"/>
      <w:marTop w:val="0"/>
      <w:marBottom w:val="0"/>
      <w:divBdr>
        <w:top w:val="none" w:sz="0" w:space="0" w:color="auto"/>
        <w:left w:val="none" w:sz="0" w:space="0" w:color="auto"/>
        <w:bottom w:val="none" w:sz="0" w:space="0" w:color="auto"/>
        <w:right w:val="none" w:sz="0" w:space="0" w:color="auto"/>
      </w:divBdr>
    </w:div>
    <w:div w:id="143394266">
      <w:bodyDiv w:val="1"/>
      <w:marLeft w:val="0"/>
      <w:marRight w:val="0"/>
      <w:marTop w:val="0"/>
      <w:marBottom w:val="0"/>
      <w:divBdr>
        <w:top w:val="none" w:sz="0" w:space="0" w:color="auto"/>
        <w:left w:val="none" w:sz="0" w:space="0" w:color="auto"/>
        <w:bottom w:val="none" w:sz="0" w:space="0" w:color="auto"/>
        <w:right w:val="none" w:sz="0" w:space="0" w:color="auto"/>
      </w:divBdr>
    </w:div>
    <w:div w:id="150339879">
      <w:bodyDiv w:val="1"/>
      <w:marLeft w:val="0"/>
      <w:marRight w:val="0"/>
      <w:marTop w:val="0"/>
      <w:marBottom w:val="0"/>
      <w:divBdr>
        <w:top w:val="none" w:sz="0" w:space="0" w:color="auto"/>
        <w:left w:val="none" w:sz="0" w:space="0" w:color="auto"/>
        <w:bottom w:val="none" w:sz="0" w:space="0" w:color="auto"/>
        <w:right w:val="none" w:sz="0" w:space="0" w:color="auto"/>
      </w:divBdr>
    </w:div>
    <w:div w:id="150492286">
      <w:bodyDiv w:val="1"/>
      <w:marLeft w:val="0"/>
      <w:marRight w:val="0"/>
      <w:marTop w:val="0"/>
      <w:marBottom w:val="0"/>
      <w:divBdr>
        <w:top w:val="none" w:sz="0" w:space="0" w:color="auto"/>
        <w:left w:val="none" w:sz="0" w:space="0" w:color="auto"/>
        <w:bottom w:val="none" w:sz="0" w:space="0" w:color="auto"/>
        <w:right w:val="none" w:sz="0" w:space="0" w:color="auto"/>
      </w:divBdr>
    </w:div>
    <w:div w:id="153762898">
      <w:bodyDiv w:val="1"/>
      <w:marLeft w:val="0"/>
      <w:marRight w:val="0"/>
      <w:marTop w:val="0"/>
      <w:marBottom w:val="0"/>
      <w:divBdr>
        <w:top w:val="none" w:sz="0" w:space="0" w:color="auto"/>
        <w:left w:val="none" w:sz="0" w:space="0" w:color="auto"/>
        <w:bottom w:val="none" w:sz="0" w:space="0" w:color="auto"/>
        <w:right w:val="none" w:sz="0" w:space="0" w:color="auto"/>
      </w:divBdr>
    </w:div>
    <w:div w:id="157884796">
      <w:bodyDiv w:val="1"/>
      <w:marLeft w:val="0"/>
      <w:marRight w:val="0"/>
      <w:marTop w:val="0"/>
      <w:marBottom w:val="0"/>
      <w:divBdr>
        <w:top w:val="none" w:sz="0" w:space="0" w:color="auto"/>
        <w:left w:val="none" w:sz="0" w:space="0" w:color="auto"/>
        <w:bottom w:val="none" w:sz="0" w:space="0" w:color="auto"/>
        <w:right w:val="none" w:sz="0" w:space="0" w:color="auto"/>
      </w:divBdr>
    </w:div>
    <w:div w:id="198010037">
      <w:bodyDiv w:val="1"/>
      <w:marLeft w:val="0"/>
      <w:marRight w:val="0"/>
      <w:marTop w:val="0"/>
      <w:marBottom w:val="0"/>
      <w:divBdr>
        <w:top w:val="none" w:sz="0" w:space="0" w:color="auto"/>
        <w:left w:val="none" w:sz="0" w:space="0" w:color="auto"/>
        <w:bottom w:val="none" w:sz="0" w:space="0" w:color="auto"/>
        <w:right w:val="none" w:sz="0" w:space="0" w:color="auto"/>
      </w:divBdr>
    </w:div>
    <w:div w:id="203368202">
      <w:bodyDiv w:val="1"/>
      <w:marLeft w:val="0"/>
      <w:marRight w:val="0"/>
      <w:marTop w:val="0"/>
      <w:marBottom w:val="0"/>
      <w:divBdr>
        <w:top w:val="none" w:sz="0" w:space="0" w:color="auto"/>
        <w:left w:val="none" w:sz="0" w:space="0" w:color="auto"/>
        <w:bottom w:val="none" w:sz="0" w:space="0" w:color="auto"/>
        <w:right w:val="none" w:sz="0" w:space="0" w:color="auto"/>
      </w:divBdr>
    </w:div>
    <w:div w:id="218440888">
      <w:bodyDiv w:val="1"/>
      <w:marLeft w:val="0"/>
      <w:marRight w:val="0"/>
      <w:marTop w:val="0"/>
      <w:marBottom w:val="0"/>
      <w:divBdr>
        <w:top w:val="none" w:sz="0" w:space="0" w:color="auto"/>
        <w:left w:val="none" w:sz="0" w:space="0" w:color="auto"/>
        <w:bottom w:val="none" w:sz="0" w:space="0" w:color="auto"/>
        <w:right w:val="none" w:sz="0" w:space="0" w:color="auto"/>
      </w:divBdr>
    </w:div>
    <w:div w:id="223683786">
      <w:bodyDiv w:val="1"/>
      <w:marLeft w:val="0"/>
      <w:marRight w:val="0"/>
      <w:marTop w:val="0"/>
      <w:marBottom w:val="0"/>
      <w:divBdr>
        <w:top w:val="none" w:sz="0" w:space="0" w:color="auto"/>
        <w:left w:val="none" w:sz="0" w:space="0" w:color="auto"/>
        <w:bottom w:val="none" w:sz="0" w:space="0" w:color="auto"/>
        <w:right w:val="none" w:sz="0" w:space="0" w:color="auto"/>
      </w:divBdr>
    </w:div>
    <w:div w:id="229585950">
      <w:bodyDiv w:val="1"/>
      <w:marLeft w:val="0"/>
      <w:marRight w:val="0"/>
      <w:marTop w:val="0"/>
      <w:marBottom w:val="0"/>
      <w:divBdr>
        <w:top w:val="none" w:sz="0" w:space="0" w:color="auto"/>
        <w:left w:val="none" w:sz="0" w:space="0" w:color="auto"/>
        <w:bottom w:val="none" w:sz="0" w:space="0" w:color="auto"/>
        <w:right w:val="none" w:sz="0" w:space="0" w:color="auto"/>
      </w:divBdr>
    </w:div>
    <w:div w:id="238909055">
      <w:bodyDiv w:val="1"/>
      <w:marLeft w:val="0"/>
      <w:marRight w:val="0"/>
      <w:marTop w:val="0"/>
      <w:marBottom w:val="0"/>
      <w:divBdr>
        <w:top w:val="none" w:sz="0" w:space="0" w:color="auto"/>
        <w:left w:val="none" w:sz="0" w:space="0" w:color="auto"/>
        <w:bottom w:val="none" w:sz="0" w:space="0" w:color="auto"/>
        <w:right w:val="none" w:sz="0" w:space="0" w:color="auto"/>
      </w:divBdr>
    </w:div>
    <w:div w:id="240601583">
      <w:bodyDiv w:val="1"/>
      <w:marLeft w:val="0"/>
      <w:marRight w:val="0"/>
      <w:marTop w:val="0"/>
      <w:marBottom w:val="0"/>
      <w:divBdr>
        <w:top w:val="none" w:sz="0" w:space="0" w:color="auto"/>
        <w:left w:val="none" w:sz="0" w:space="0" w:color="auto"/>
        <w:bottom w:val="none" w:sz="0" w:space="0" w:color="auto"/>
        <w:right w:val="none" w:sz="0" w:space="0" w:color="auto"/>
      </w:divBdr>
    </w:div>
    <w:div w:id="245191940">
      <w:bodyDiv w:val="1"/>
      <w:marLeft w:val="0"/>
      <w:marRight w:val="0"/>
      <w:marTop w:val="0"/>
      <w:marBottom w:val="0"/>
      <w:divBdr>
        <w:top w:val="none" w:sz="0" w:space="0" w:color="auto"/>
        <w:left w:val="none" w:sz="0" w:space="0" w:color="auto"/>
        <w:bottom w:val="none" w:sz="0" w:space="0" w:color="auto"/>
        <w:right w:val="none" w:sz="0" w:space="0" w:color="auto"/>
      </w:divBdr>
    </w:div>
    <w:div w:id="256910537">
      <w:bodyDiv w:val="1"/>
      <w:marLeft w:val="0"/>
      <w:marRight w:val="0"/>
      <w:marTop w:val="0"/>
      <w:marBottom w:val="0"/>
      <w:divBdr>
        <w:top w:val="none" w:sz="0" w:space="0" w:color="auto"/>
        <w:left w:val="none" w:sz="0" w:space="0" w:color="auto"/>
        <w:bottom w:val="none" w:sz="0" w:space="0" w:color="auto"/>
        <w:right w:val="none" w:sz="0" w:space="0" w:color="auto"/>
      </w:divBdr>
    </w:div>
    <w:div w:id="262303615">
      <w:bodyDiv w:val="1"/>
      <w:marLeft w:val="0"/>
      <w:marRight w:val="0"/>
      <w:marTop w:val="0"/>
      <w:marBottom w:val="0"/>
      <w:divBdr>
        <w:top w:val="none" w:sz="0" w:space="0" w:color="auto"/>
        <w:left w:val="none" w:sz="0" w:space="0" w:color="auto"/>
        <w:bottom w:val="none" w:sz="0" w:space="0" w:color="auto"/>
        <w:right w:val="none" w:sz="0" w:space="0" w:color="auto"/>
      </w:divBdr>
    </w:div>
    <w:div w:id="279147480">
      <w:bodyDiv w:val="1"/>
      <w:marLeft w:val="0"/>
      <w:marRight w:val="0"/>
      <w:marTop w:val="0"/>
      <w:marBottom w:val="0"/>
      <w:divBdr>
        <w:top w:val="none" w:sz="0" w:space="0" w:color="auto"/>
        <w:left w:val="none" w:sz="0" w:space="0" w:color="auto"/>
        <w:bottom w:val="none" w:sz="0" w:space="0" w:color="auto"/>
        <w:right w:val="none" w:sz="0" w:space="0" w:color="auto"/>
      </w:divBdr>
    </w:div>
    <w:div w:id="290594564">
      <w:bodyDiv w:val="1"/>
      <w:marLeft w:val="0"/>
      <w:marRight w:val="0"/>
      <w:marTop w:val="0"/>
      <w:marBottom w:val="0"/>
      <w:divBdr>
        <w:top w:val="none" w:sz="0" w:space="0" w:color="auto"/>
        <w:left w:val="none" w:sz="0" w:space="0" w:color="auto"/>
        <w:bottom w:val="none" w:sz="0" w:space="0" w:color="auto"/>
        <w:right w:val="none" w:sz="0" w:space="0" w:color="auto"/>
      </w:divBdr>
    </w:div>
    <w:div w:id="326592970">
      <w:bodyDiv w:val="1"/>
      <w:marLeft w:val="0"/>
      <w:marRight w:val="0"/>
      <w:marTop w:val="0"/>
      <w:marBottom w:val="0"/>
      <w:divBdr>
        <w:top w:val="none" w:sz="0" w:space="0" w:color="auto"/>
        <w:left w:val="none" w:sz="0" w:space="0" w:color="auto"/>
        <w:bottom w:val="none" w:sz="0" w:space="0" w:color="auto"/>
        <w:right w:val="none" w:sz="0" w:space="0" w:color="auto"/>
      </w:divBdr>
    </w:div>
    <w:div w:id="344868727">
      <w:bodyDiv w:val="1"/>
      <w:marLeft w:val="0"/>
      <w:marRight w:val="0"/>
      <w:marTop w:val="0"/>
      <w:marBottom w:val="0"/>
      <w:divBdr>
        <w:top w:val="none" w:sz="0" w:space="0" w:color="auto"/>
        <w:left w:val="none" w:sz="0" w:space="0" w:color="auto"/>
        <w:bottom w:val="none" w:sz="0" w:space="0" w:color="auto"/>
        <w:right w:val="none" w:sz="0" w:space="0" w:color="auto"/>
      </w:divBdr>
    </w:div>
    <w:div w:id="345063767">
      <w:bodyDiv w:val="1"/>
      <w:marLeft w:val="0"/>
      <w:marRight w:val="0"/>
      <w:marTop w:val="0"/>
      <w:marBottom w:val="0"/>
      <w:divBdr>
        <w:top w:val="none" w:sz="0" w:space="0" w:color="auto"/>
        <w:left w:val="none" w:sz="0" w:space="0" w:color="auto"/>
        <w:bottom w:val="none" w:sz="0" w:space="0" w:color="auto"/>
        <w:right w:val="none" w:sz="0" w:space="0" w:color="auto"/>
      </w:divBdr>
    </w:div>
    <w:div w:id="355734281">
      <w:bodyDiv w:val="1"/>
      <w:marLeft w:val="0"/>
      <w:marRight w:val="0"/>
      <w:marTop w:val="0"/>
      <w:marBottom w:val="0"/>
      <w:divBdr>
        <w:top w:val="none" w:sz="0" w:space="0" w:color="auto"/>
        <w:left w:val="none" w:sz="0" w:space="0" w:color="auto"/>
        <w:bottom w:val="none" w:sz="0" w:space="0" w:color="auto"/>
        <w:right w:val="none" w:sz="0" w:space="0" w:color="auto"/>
      </w:divBdr>
    </w:div>
    <w:div w:id="373777611">
      <w:bodyDiv w:val="1"/>
      <w:marLeft w:val="0"/>
      <w:marRight w:val="0"/>
      <w:marTop w:val="0"/>
      <w:marBottom w:val="0"/>
      <w:divBdr>
        <w:top w:val="none" w:sz="0" w:space="0" w:color="auto"/>
        <w:left w:val="none" w:sz="0" w:space="0" w:color="auto"/>
        <w:bottom w:val="none" w:sz="0" w:space="0" w:color="auto"/>
        <w:right w:val="none" w:sz="0" w:space="0" w:color="auto"/>
      </w:divBdr>
    </w:div>
    <w:div w:id="377897364">
      <w:bodyDiv w:val="1"/>
      <w:marLeft w:val="0"/>
      <w:marRight w:val="0"/>
      <w:marTop w:val="0"/>
      <w:marBottom w:val="0"/>
      <w:divBdr>
        <w:top w:val="none" w:sz="0" w:space="0" w:color="auto"/>
        <w:left w:val="none" w:sz="0" w:space="0" w:color="auto"/>
        <w:bottom w:val="none" w:sz="0" w:space="0" w:color="auto"/>
        <w:right w:val="none" w:sz="0" w:space="0" w:color="auto"/>
      </w:divBdr>
    </w:div>
    <w:div w:id="386422201">
      <w:bodyDiv w:val="1"/>
      <w:marLeft w:val="0"/>
      <w:marRight w:val="0"/>
      <w:marTop w:val="0"/>
      <w:marBottom w:val="0"/>
      <w:divBdr>
        <w:top w:val="none" w:sz="0" w:space="0" w:color="auto"/>
        <w:left w:val="none" w:sz="0" w:space="0" w:color="auto"/>
        <w:bottom w:val="none" w:sz="0" w:space="0" w:color="auto"/>
        <w:right w:val="none" w:sz="0" w:space="0" w:color="auto"/>
      </w:divBdr>
    </w:div>
    <w:div w:id="388306587">
      <w:bodyDiv w:val="1"/>
      <w:marLeft w:val="0"/>
      <w:marRight w:val="0"/>
      <w:marTop w:val="0"/>
      <w:marBottom w:val="0"/>
      <w:divBdr>
        <w:top w:val="none" w:sz="0" w:space="0" w:color="auto"/>
        <w:left w:val="none" w:sz="0" w:space="0" w:color="auto"/>
        <w:bottom w:val="none" w:sz="0" w:space="0" w:color="auto"/>
        <w:right w:val="none" w:sz="0" w:space="0" w:color="auto"/>
      </w:divBdr>
    </w:div>
    <w:div w:id="388462023">
      <w:bodyDiv w:val="1"/>
      <w:marLeft w:val="0"/>
      <w:marRight w:val="0"/>
      <w:marTop w:val="0"/>
      <w:marBottom w:val="0"/>
      <w:divBdr>
        <w:top w:val="none" w:sz="0" w:space="0" w:color="auto"/>
        <w:left w:val="none" w:sz="0" w:space="0" w:color="auto"/>
        <w:bottom w:val="none" w:sz="0" w:space="0" w:color="auto"/>
        <w:right w:val="none" w:sz="0" w:space="0" w:color="auto"/>
      </w:divBdr>
    </w:div>
    <w:div w:id="396056689">
      <w:bodyDiv w:val="1"/>
      <w:marLeft w:val="0"/>
      <w:marRight w:val="0"/>
      <w:marTop w:val="0"/>
      <w:marBottom w:val="0"/>
      <w:divBdr>
        <w:top w:val="none" w:sz="0" w:space="0" w:color="auto"/>
        <w:left w:val="none" w:sz="0" w:space="0" w:color="auto"/>
        <w:bottom w:val="none" w:sz="0" w:space="0" w:color="auto"/>
        <w:right w:val="none" w:sz="0" w:space="0" w:color="auto"/>
      </w:divBdr>
    </w:div>
    <w:div w:id="404228826">
      <w:bodyDiv w:val="1"/>
      <w:marLeft w:val="0"/>
      <w:marRight w:val="0"/>
      <w:marTop w:val="0"/>
      <w:marBottom w:val="0"/>
      <w:divBdr>
        <w:top w:val="none" w:sz="0" w:space="0" w:color="auto"/>
        <w:left w:val="none" w:sz="0" w:space="0" w:color="auto"/>
        <w:bottom w:val="none" w:sz="0" w:space="0" w:color="auto"/>
        <w:right w:val="none" w:sz="0" w:space="0" w:color="auto"/>
      </w:divBdr>
    </w:div>
    <w:div w:id="416559991">
      <w:bodyDiv w:val="1"/>
      <w:marLeft w:val="0"/>
      <w:marRight w:val="0"/>
      <w:marTop w:val="0"/>
      <w:marBottom w:val="0"/>
      <w:divBdr>
        <w:top w:val="none" w:sz="0" w:space="0" w:color="auto"/>
        <w:left w:val="none" w:sz="0" w:space="0" w:color="auto"/>
        <w:bottom w:val="none" w:sz="0" w:space="0" w:color="auto"/>
        <w:right w:val="none" w:sz="0" w:space="0" w:color="auto"/>
      </w:divBdr>
    </w:div>
    <w:div w:id="428814104">
      <w:bodyDiv w:val="1"/>
      <w:marLeft w:val="0"/>
      <w:marRight w:val="0"/>
      <w:marTop w:val="0"/>
      <w:marBottom w:val="0"/>
      <w:divBdr>
        <w:top w:val="none" w:sz="0" w:space="0" w:color="auto"/>
        <w:left w:val="none" w:sz="0" w:space="0" w:color="auto"/>
        <w:bottom w:val="none" w:sz="0" w:space="0" w:color="auto"/>
        <w:right w:val="none" w:sz="0" w:space="0" w:color="auto"/>
      </w:divBdr>
    </w:div>
    <w:div w:id="436751318">
      <w:bodyDiv w:val="1"/>
      <w:marLeft w:val="0"/>
      <w:marRight w:val="0"/>
      <w:marTop w:val="0"/>
      <w:marBottom w:val="0"/>
      <w:divBdr>
        <w:top w:val="none" w:sz="0" w:space="0" w:color="auto"/>
        <w:left w:val="none" w:sz="0" w:space="0" w:color="auto"/>
        <w:bottom w:val="none" w:sz="0" w:space="0" w:color="auto"/>
        <w:right w:val="none" w:sz="0" w:space="0" w:color="auto"/>
      </w:divBdr>
    </w:div>
    <w:div w:id="440689281">
      <w:bodyDiv w:val="1"/>
      <w:marLeft w:val="0"/>
      <w:marRight w:val="0"/>
      <w:marTop w:val="0"/>
      <w:marBottom w:val="0"/>
      <w:divBdr>
        <w:top w:val="none" w:sz="0" w:space="0" w:color="auto"/>
        <w:left w:val="none" w:sz="0" w:space="0" w:color="auto"/>
        <w:bottom w:val="none" w:sz="0" w:space="0" w:color="auto"/>
        <w:right w:val="none" w:sz="0" w:space="0" w:color="auto"/>
      </w:divBdr>
    </w:div>
    <w:div w:id="460540690">
      <w:bodyDiv w:val="1"/>
      <w:marLeft w:val="0"/>
      <w:marRight w:val="0"/>
      <w:marTop w:val="0"/>
      <w:marBottom w:val="0"/>
      <w:divBdr>
        <w:top w:val="none" w:sz="0" w:space="0" w:color="auto"/>
        <w:left w:val="none" w:sz="0" w:space="0" w:color="auto"/>
        <w:bottom w:val="none" w:sz="0" w:space="0" w:color="auto"/>
        <w:right w:val="none" w:sz="0" w:space="0" w:color="auto"/>
      </w:divBdr>
    </w:div>
    <w:div w:id="462430229">
      <w:bodyDiv w:val="1"/>
      <w:marLeft w:val="0"/>
      <w:marRight w:val="0"/>
      <w:marTop w:val="0"/>
      <w:marBottom w:val="0"/>
      <w:divBdr>
        <w:top w:val="none" w:sz="0" w:space="0" w:color="auto"/>
        <w:left w:val="none" w:sz="0" w:space="0" w:color="auto"/>
        <w:bottom w:val="none" w:sz="0" w:space="0" w:color="auto"/>
        <w:right w:val="none" w:sz="0" w:space="0" w:color="auto"/>
      </w:divBdr>
    </w:div>
    <w:div w:id="475538558">
      <w:bodyDiv w:val="1"/>
      <w:marLeft w:val="0"/>
      <w:marRight w:val="0"/>
      <w:marTop w:val="0"/>
      <w:marBottom w:val="0"/>
      <w:divBdr>
        <w:top w:val="none" w:sz="0" w:space="0" w:color="auto"/>
        <w:left w:val="none" w:sz="0" w:space="0" w:color="auto"/>
        <w:bottom w:val="none" w:sz="0" w:space="0" w:color="auto"/>
        <w:right w:val="none" w:sz="0" w:space="0" w:color="auto"/>
      </w:divBdr>
    </w:div>
    <w:div w:id="478226166">
      <w:bodyDiv w:val="1"/>
      <w:marLeft w:val="0"/>
      <w:marRight w:val="0"/>
      <w:marTop w:val="0"/>
      <w:marBottom w:val="0"/>
      <w:divBdr>
        <w:top w:val="none" w:sz="0" w:space="0" w:color="auto"/>
        <w:left w:val="none" w:sz="0" w:space="0" w:color="auto"/>
        <w:bottom w:val="none" w:sz="0" w:space="0" w:color="auto"/>
        <w:right w:val="none" w:sz="0" w:space="0" w:color="auto"/>
      </w:divBdr>
    </w:div>
    <w:div w:id="483206103">
      <w:bodyDiv w:val="1"/>
      <w:marLeft w:val="0"/>
      <w:marRight w:val="0"/>
      <w:marTop w:val="0"/>
      <w:marBottom w:val="0"/>
      <w:divBdr>
        <w:top w:val="none" w:sz="0" w:space="0" w:color="auto"/>
        <w:left w:val="none" w:sz="0" w:space="0" w:color="auto"/>
        <w:bottom w:val="none" w:sz="0" w:space="0" w:color="auto"/>
        <w:right w:val="none" w:sz="0" w:space="0" w:color="auto"/>
      </w:divBdr>
    </w:div>
    <w:div w:id="487985884">
      <w:bodyDiv w:val="1"/>
      <w:marLeft w:val="0"/>
      <w:marRight w:val="0"/>
      <w:marTop w:val="0"/>
      <w:marBottom w:val="0"/>
      <w:divBdr>
        <w:top w:val="none" w:sz="0" w:space="0" w:color="auto"/>
        <w:left w:val="none" w:sz="0" w:space="0" w:color="auto"/>
        <w:bottom w:val="none" w:sz="0" w:space="0" w:color="auto"/>
        <w:right w:val="none" w:sz="0" w:space="0" w:color="auto"/>
      </w:divBdr>
    </w:div>
    <w:div w:id="495850776">
      <w:bodyDiv w:val="1"/>
      <w:marLeft w:val="0"/>
      <w:marRight w:val="0"/>
      <w:marTop w:val="0"/>
      <w:marBottom w:val="0"/>
      <w:divBdr>
        <w:top w:val="none" w:sz="0" w:space="0" w:color="auto"/>
        <w:left w:val="none" w:sz="0" w:space="0" w:color="auto"/>
        <w:bottom w:val="none" w:sz="0" w:space="0" w:color="auto"/>
        <w:right w:val="none" w:sz="0" w:space="0" w:color="auto"/>
      </w:divBdr>
    </w:div>
    <w:div w:id="501749353">
      <w:bodyDiv w:val="1"/>
      <w:marLeft w:val="0"/>
      <w:marRight w:val="0"/>
      <w:marTop w:val="0"/>
      <w:marBottom w:val="0"/>
      <w:divBdr>
        <w:top w:val="none" w:sz="0" w:space="0" w:color="auto"/>
        <w:left w:val="none" w:sz="0" w:space="0" w:color="auto"/>
        <w:bottom w:val="none" w:sz="0" w:space="0" w:color="auto"/>
        <w:right w:val="none" w:sz="0" w:space="0" w:color="auto"/>
      </w:divBdr>
    </w:div>
    <w:div w:id="502821061">
      <w:bodyDiv w:val="1"/>
      <w:marLeft w:val="0"/>
      <w:marRight w:val="0"/>
      <w:marTop w:val="0"/>
      <w:marBottom w:val="0"/>
      <w:divBdr>
        <w:top w:val="none" w:sz="0" w:space="0" w:color="auto"/>
        <w:left w:val="none" w:sz="0" w:space="0" w:color="auto"/>
        <w:bottom w:val="none" w:sz="0" w:space="0" w:color="auto"/>
        <w:right w:val="none" w:sz="0" w:space="0" w:color="auto"/>
      </w:divBdr>
    </w:div>
    <w:div w:id="505050991">
      <w:bodyDiv w:val="1"/>
      <w:marLeft w:val="0"/>
      <w:marRight w:val="0"/>
      <w:marTop w:val="0"/>
      <w:marBottom w:val="0"/>
      <w:divBdr>
        <w:top w:val="none" w:sz="0" w:space="0" w:color="auto"/>
        <w:left w:val="none" w:sz="0" w:space="0" w:color="auto"/>
        <w:bottom w:val="none" w:sz="0" w:space="0" w:color="auto"/>
        <w:right w:val="none" w:sz="0" w:space="0" w:color="auto"/>
      </w:divBdr>
    </w:div>
    <w:div w:id="505095829">
      <w:bodyDiv w:val="1"/>
      <w:marLeft w:val="0"/>
      <w:marRight w:val="0"/>
      <w:marTop w:val="0"/>
      <w:marBottom w:val="0"/>
      <w:divBdr>
        <w:top w:val="none" w:sz="0" w:space="0" w:color="auto"/>
        <w:left w:val="none" w:sz="0" w:space="0" w:color="auto"/>
        <w:bottom w:val="none" w:sz="0" w:space="0" w:color="auto"/>
        <w:right w:val="none" w:sz="0" w:space="0" w:color="auto"/>
      </w:divBdr>
    </w:div>
    <w:div w:id="505484660">
      <w:bodyDiv w:val="1"/>
      <w:marLeft w:val="0"/>
      <w:marRight w:val="0"/>
      <w:marTop w:val="0"/>
      <w:marBottom w:val="0"/>
      <w:divBdr>
        <w:top w:val="none" w:sz="0" w:space="0" w:color="auto"/>
        <w:left w:val="none" w:sz="0" w:space="0" w:color="auto"/>
        <w:bottom w:val="none" w:sz="0" w:space="0" w:color="auto"/>
        <w:right w:val="none" w:sz="0" w:space="0" w:color="auto"/>
      </w:divBdr>
    </w:div>
    <w:div w:id="540747484">
      <w:bodyDiv w:val="1"/>
      <w:marLeft w:val="0"/>
      <w:marRight w:val="0"/>
      <w:marTop w:val="0"/>
      <w:marBottom w:val="0"/>
      <w:divBdr>
        <w:top w:val="none" w:sz="0" w:space="0" w:color="auto"/>
        <w:left w:val="none" w:sz="0" w:space="0" w:color="auto"/>
        <w:bottom w:val="none" w:sz="0" w:space="0" w:color="auto"/>
        <w:right w:val="none" w:sz="0" w:space="0" w:color="auto"/>
      </w:divBdr>
    </w:div>
    <w:div w:id="559025714">
      <w:bodyDiv w:val="1"/>
      <w:marLeft w:val="0"/>
      <w:marRight w:val="0"/>
      <w:marTop w:val="0"/>
      <w:marBottom w:val="0"/>
      <w:divBdr>
        <w:top w:val="none" w:sz="0" w:space="0" w:color="auto"/>
        <w:left w:val="none" w:sz="0" w:space="0" w:color="auto"/>
        <w:bottom w:val="none" w:sz="0" w:space="0" w:color="auto"/>
        <w:right w:val="none" w:sz="0" w:space="0" w:color="auto"/>
      </w:divBdr>
    </w:div>
    <w:div w:id="560869783">
      <w:bodyDiv w:val="1"/>
      <w:marLeft w:val="0"/>
      <w:marRight w:val="0"/>
      <w:marTop w:val="0"/>
      <w:marBottom w:val="0"/>
      <w:divBdr>
        <w:top w:val="none" w:sz="0" w:space="0" w:color="auto"/>
        <w:left w:val="none" w:sz="0" w:space="0" w:color="auto"/>
        <w:bottom w:val="none" w:sz="0" w:space="0" w:color="auto"/>
        <w:right w:val="none" w:sz="0" w:space="0" w:color="auto"/>
      </w:divBdr>
    </w:div>
    <w:div w:id="591552708">
      <w:bodyDiv w:val="1"/>
      <w:marLeft w:val="0"/>
      <w:marRight w:val="0"/>
      <w:marTop w:val="0"/>
      <w:marBottom w:val="0"/>
      <w:divBdr>
        <w:top w:val="none" w:sz="0" w:space="0" w:color="auto"/>
        <w:left w:val="none" w:sz="0" w:space="0" w:color="auto"/>
        <w:bottom w:val="none" w:sz="0" w:space="0" w:color="auto"/>
        <w:right w:val="none" w:sz="0" w:space="0" w:color="auto"/>
      </w:divBdr>
    </w:div>
    <w:div w:id="599798433">
      <w:bodyDiv w:val="1"/>
      <w:marLeft w:val="0"/>
      <w:marRight w:val="0"/>
      <w:marTop w:val="0"/>
      <w:marBottom w:val="0"/>
      <w:divBdr>
        <w:top w:val="none" w:sz="0" w:space="0" w:color="auto"/>
        <w:left w:val="none" w:sz="0" w:space="0" w:color="auto"/>
        <w:bottom w:val="none" w:sz="0" w:space="0" w:color="auto"/>
        <w:right w:val="none" w:sz="0" w:space="0" w:color="auto"/>
      </w:divBdr>
    </w:div>
    <w:div w:id="606163334">
      <w:bodyDiv w:val="1"/>
      <w:marLeft w:val="0"/>
      <w:marRight w:val="0"/>
      <w:marTop w:val="0"/>
      <w:marBottom w:val="0"/>
      <w:divBdr>
        <w:top w:val="none" w:sz="0" w:space="0" w:color="auto"/>
        <w:left w:val="none" w:sz="0" w:space="0" w:color="auto"/>
        <w:bottom w:val="none" w:sz="0" w:space="0" w:color="auto"/>
        <w:right w:val="none" w:sz="0" w:space="0" w:color="auto"/>
      </w:divBdr>
    </w:div>
    <w:div w:id="631448889">
      <w:bodyDiv w:val="1"/>
      <w:marLeft w:val="0"/>
      <w:marRight w:val="0"/>
      <w:marTop w:val="0"/>
      <w:marBottom w:val="0"/>
      <w:divBdr>
        <w:top w:val="none" w:sz="0" w:space="0" w:color="auto"/>
        <w:left w:val="none" w:sz="0" w:space="0" w:color="auto"/>
        <w:bottom w:val="none" w:sz="0" w:space="0" w:color="auto"/>
        <w:right w:val="none" w:sz="0" w:space="0" w:color="auto"/>
      </w:divBdr>
    </w:div>
    <w:div w:id="635718057">
      <w:bodyDiv w:val="1"/>
      <w:marLeft w:val="0"/>
      <w:marRight w:val="0"/>
      <w:marTop w:val="0"/>
      <w:marBottom w:val="0"/>
      <w:divBdr>
        <w:top w:val="none" w:sz="0" w:space="0" w:color="auto"/>
        <w:left w:val="none" w:sz="0" w:space="0" w:color="auto"/>
        <w:bottom w:val="none" w:sz="0" w:space="0" w:color="auto"/>
        <w:right w:val="none" w:sz="0" w:space="0" w:color="auto"/>
      </w:divBdr>
    </w:div>
    <w:div w:id="644817088">
      <w:bodyDiv w:val="1"/>
      <w:marLeft w:val="0"/>
      <w:marRight w:val="0"/>
      <w:marTop w:val="0"/>
      <w:marBottom w:val="0"/>
      <w:divBdr>
        <w:top w:val="none" w:sz="0" w:space="0" w:color="auto"/>
        <w:left w:val="none" w:sz="0" w:space="0" w:color="auto"/>
        <w:bottom w:val="none" w:sz="0" w:space="0" w:color="auto"/>
        <w:right w:val="none" w:sz="0" w:space="0" w:color="auto"/>
      </w:divBdr>
    </w:div>
    <w:div w:id="650138091">
      <w:bodyDiv w:val="1"/>
      <w:marLeft w:val="0"/>
      <w:marRight w:val="0"/>
      <w:marTop w:val="0"/>
      <w:marBottom w:val="0"/>
      <w:divBdr>
        <w:top w:val="none" w:sz="0" w:space="0" w:color="auto"/>
        <w:left w:val="none" w:sz="0" w:space="0" w:color="auto"/>
        <w:bottom w:val="none" w:sz="0" w:space="0" w:color="auto"/>
        <w:right w:val="none" w:sz="0" w:space="0" w:color="auto"/>
      </w:divBdr>
    </w:div>
    <w:div w:id="667363465">
      <w:bodyDiv w:val="1"/>
      <w:marLeft w:val="0"/>
      <w:marRight w:val="0"/>
      <w:marTop w:val="0"/>
      <w:marBottom w:val="0"/>
      <w:divBdr>
        <w:top w:val="none" w:sz="0" w:space="0" w:color="auto"/>
        <w:left w:val="none" w:sz="0" w:space="0" w:color="auto"/>
        <w:bottom w:val="none" w:sz="0" w:space="0" w:color="auto"/>
        <w:right w:val="none" w:sz="0" w:space="0" w:color="auto"/>
      </w:divBdr>
    </w:div>
    <w:div w:id="677082752">
      <w:bodyDiv w:val="1"/>
      <w:marLeft w:val="0"/>
      <w:marRight w:val="0"/>
      <w:marTop w:val="0"/>
      <w:marBottom w:val="0"/>
      <w:divBdr>
        <w:top w:val="none" w:sz="0" w:space="0" w:color="auto"/>
        <w:left w:val="none" w:sz="0" w:space="0" w:color="auto"/>
        <w:bottom w:val="none" w:sz="0" w:space="0" w:color="auto"/>
        <w:right w:val="none" w:sz="0" w:space="0" w:color="auto"/>
      </w:divBdr>
    </w:div>
    <w:div w:id="681905959">
      <w:bodyDiv w:val="1"/>
      <w:marLeft w:val="0"/>
      <w:marRight w:val="0"/>
      <w:marTop w:val="0"/>
      <w:marBottom w:val="0"/>
      <w:divBdr>
        <w:top w:val="none" w:sz="0" w:space="0" w:color="auto"/>
        <w:left w:val="none" w:sz="0" w:space="0" w:color="auto"/>
        <w:bottom w:val="none" w:sz="0" w:space="0" w:color="auto"/>
        <w:right w:val="none" w:sz="0" w:space="0" w:color="auto"/>
      </w:divBdr>
    </w:div>
    <w:div w:id="696269913">
      <w:bodyDiv w:val="1"/>
      <w:marLeft w:val="0"/>
      <w:marRight w:val="0"/>
      <w:marTop w:val="0"/>
      <w:marBottom w:val="0"/>
      <w:divBdr>
        <w:top w:val="none" w:sz="0" w:space="0" w:color="auto"/>
        <w:left w:val="none" w:sz="0" w:space="0" w:color="auto"/>
        <w:bottom w:val="none" w:sz="0" w:space="0" w:color="auto"/>
        <w:right w:val="none" w:sz="0" w:space="0" w:color="auto"/>
      </w:divBdr>
    </w:div>
    <w:div w:id="701706586">
      <w:bodyDiv w:val="1"/>
      <w:marLeft w:val="0"/>
      <w:marRight w:val="0"/>
      <w:marTop w:val="0"/>
      <w:marBottom w:val="0"/>
      <w:divBdr>
        <w:top w:val="none" w:sz="0" w:space="0" w:color="auto"/>
        <w:left w:val="none" w:sz="0" w:space="0" w:color="auto"/>
        <w:bottom w:val="none" w:sz="0" w:space="0" w:color="auto"/>
        <w:right w:val="none" w:sz="0" w:space="0" w:color="auto"/>
      </w:divBdr>
    </w:div>
    <w:div w:id="703095473">
      <w:bodyDiv w:val="1"/>
      <w:marLeft w:val="0"/>
      <w:marRight w:val="0"/>
      <w:marTop w:val="0"/>
      <w:marBottom w:val="0"/>
      <w:divBdr>
        <w:top w:val="none" w:sz="0" w:space="0" w:color="auto"/>
        <w:left w:val="none" w:sz="0" w:space="0" w:color="auto"/>
        <w:bottom w:val="none" w:sz="0" w:space="0" w:color="auto"/>
        <w:right w:val="none" w:sz="0" w:space="0" w:color="auto"/>
      </w:divBdr>
    </w:div>
    <w:div w:id="714433609">
      <w:bodyDiv w:val="1"/>
      <w:marLeft w:val="0"/>
      <w:marRight w:val="0"/>
      <w:marTop w:val="0"/>
      <w:marBottom w:val="0"/>
      <w:divBdr>
        <w:top w:val="none" w:sz="0" w:space="0" w:color="auto"/>
        <w:left w:val="none" w:sz="0" w:space="0" w:color="auto"/>
        <w:bottom w:val="none" w:sz="0" w:space="0" w:color="auto"/>
        <w:right w:val="none" w:sz="0" w:space="0" w:color="auto"/>
      </w:divBdr>
    </w:div>
    <w:div w:id="719668610">
      <w:bodyDiv w:val="1"/>
      <w:marLeft w:val="0"/>
      <w:marRight w:val="0"/>
      <w:marTop w:val="0"/>
      <w:marBottom w:val="0"/>
      <w:divBdr>
        <w:top w:val="none" w:sz="0" w:space="0" w:color="auto"/>
        <w:left w:val="none" w:sz="0" w:space="0" w:color="auto"/>
        <w:bottom w:val="none" w:sz="0" w:space="0" w:color="auto"/>
        <w:right w:val="none" w:sz="0" w:space="0" w:color="auto"/>
      </w:divBdr>
    </w:div>
    <w:div w:id="735474625">
      <w:bodyDiv w:val="1"/>
      <w:marLeft w:val="0"/>
      <w:marRight w:val="0"/>
      <w:marTop w:val="0"/>
      <w:marBottom w:val="0"/>
      <w:divBdr>
        <w:top w:val="none" w:sz="0" w:space="0" w:color="auto"/>
        <w:left w:val="none" w:sz="0" w:space="0" w:color="auto"/>
        <w:bottom w:val="none" w:sz="0" w:space="0" w:color="auto"/>
        <w:right w:val="none" w:sz="0" w:space="0" w:color="auto"/>
      </w:divBdr>
    </w:div>
    <w:div w:id="738015961">
      <w:bodyDiv w:val="1"/>
      <w:marLeft w:val="0"/>
      <w:marRight w:val="0"/>
      <w:marTop w:val="0"/>
      <w:marBottom w:val="0"/>
      <w:divBdr>
        <w:top w:val="none" w:sz="0" w:space="0" w:color="auto"/>
        <w:left w:val="none" w:sz="0" w:space="0" w:color="auto"/>
        <w:bottom w:val="none" w:sz="0" w:space="0" w:color="auto"/>
        <w:right w:val="none" w:sz="0" w:space="0" w:color="auto"/>
      </w:divBdr>
    </w:div>
    <w:div w:id="738789336">
      <w:bodyDiv w:val="1"/>
      <w:marLeft w:val="0"/>
      <w:marRight w:val="0"/>
      <w:marTop w:val="0"/>
      <w:marBottom w:val="0"/>
      <w:divBdr>
        <w:top w:val="none" w:sz="0" w:space="0" w:color="auto"/>
        <w:left w:val="none" w:sz="0" w:space="0" w:color="auto"/>
        <w:bottom w:val="none" w:sz="0" w:space="0" w:color="auto"/>
        <w:right w:val="none" w:sz="0" w:space="0" w:color="auto"/>
      </w:divBdr>
    </w:div>
    <w:div w:id="746879767">
      <w:bodyDiv w:val="1"/>
      <w:marLeft w:val="0"/>
      <w:marRight w:val="0"/>
      <w:marTop w:val="0"/>
      <w:marBottom w:val="0"/>
      <w:divBdr>
        <w:top w:val="none" w:sz="0" w:space="0" w:color="auto"/>
        <w:left w:val="none" w:sz="0" w:space="0" w:color="auto"/>
        <w:bottom w:val="none" w:sz="0" w:space="0" w:color="auto"/>
        <w:right w:val="none" w:sz="0" w:space="0" w:color="auto"/>
      </w:divBdr>
    </w:div>
    <w:div w:id="770780089">
      <w:bodyDiv w:val="1"/>
      <w:marLeft w:val="0"/>
      <w:marRight w:val="0"/>
      <w:marTop w:val="0"/>
      <w:marBottom w:val="0"/>
      <w:divBdr>
        <w:top w:val="none" w:sz="0" w:space="0" w:color="auto"/>
        <w:left w:val="none" w:sz="0" w:space="0" w:color="auto"/>
        <w:bottom w:val="none" w:sz="0" w:space="0" w:color="auto"/>
        <w:right w:val="none" w:sz="0" w:space="0" w:color="auto"/>
      </w:divBdr>
    </w:div>
    <w:div w:id="800005005">
      <w:bodyDiv w:val="1"/>
      <w:marLeft w:val="0"/>
      <w:marRight w:val="0"/>
      <w:marTop w:val="0"/>
      <w:marBottom w:val="0"/>
      <w:divBdr>
        <w:top w:val="none" w:sz="0" w:space="0" w:color="auto"/>
        <w:left w:val="none" w:sz="0" w:space="0" w:color="auto"/>
        <w:bottom w:val="none" w:sz="0" w:space="0" w:color="auto"/>
        <w:right w:val="none" w:sz="0" w:space="0" w:color="auto"/>
      </w:divBdr>
    </w:div>
    <w:div w:id="806315734">
      <w:bodyDiv w:val="1"/>
      <w:marLeft w:val="0"/>
      <w:marRight w:val="0"/>
      <w:marTop w:val="0"/>
      <w:marBottom w:val="0"/>
      <w:divBdr>
        <w:top w:val="none" w:sz="0" w:space="0" w:color="auto"/>
        <w:left w:val="none" w:sz="0" w:space="0" w:color="auto"/>
        <w:bottom w:val="none" w:sz="0" w:space="0" w:color="auto"/>
        <w:right w:val="none" w:sz="0" w:space="0" w:color="auto"/>
      </w:divBdr>
    </w:div>
    <w:div w:id="814488336">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841898448">
      <w:bodyDiv w:val="1"/>
      <w:marLeft w:val="0"/>
      <w:marRight w:val="0"/>
      <w:marTop w:val="0"/>
      <w:marBottom w:val="0"/>
      <w:divBdr>
        <w:top w:val="none" w:sz="0" w:space="0" w:color="auto"/>
        <w:left w:val="none" w:sz="0" w:space="0" w:color="auto"/>
        <w:bottom w:val="none" w:sz="0" w:space="0" w:color="auto"/>
        <w:right w:val="none" w:sz="0" w:space="0" w:color="auto"/>
      </w:divBdr>
    </w:div>
    <w:div w:id="842204657">
      <w:bodyDiv w:val="1"/>
      <w:marLeft w:val="0"/>
      <w:marRight w:val="0"/>
      <w:marTop w:val="0"/>
      <w:marBottom w:val="0"/>
      <w:divBdr>
        <w:top w:val="none" w:sz="0" w:space="0" w:color="auto"/>
        <w:left w:val="none" w:sz="0" w:space="0" w:color="auto"/>
        <w:bottom w:val="none" w:sz="0" w:space="0" w:color="auto"/>
        <w:right w:val="none" w:sz="0" w:space="0" w:color="auto"/>
      </w:divBdr>
    </w:div>
    <w:div w:id="881213514">
      <w:bodyDiv w:val="1"/>
      <w:marLeft w:val="0"/>
      <w:marRight w:val="0"/>
      <w:marTop w:val="0"/>
      <w:marBottom w:val="0"/>
      <w:divBdr>
        <w:top w:val="none" w:sz="0" w:space="0" w:color="auto"/>
        <w:left w:val="none" w:sz="0" w:space="0" w:color="auto"/>
        <w:bottom w:val="none" w:sz="0" w:space="0" w:color="auto"/>
        <w:right w:val="none" w:sz="0" w:space="0" w:color="auto"/>
      </w:divBdr>
    </w:div>
    <w:div w:id="917784283">
      <w:bodyDiv w:val="1"/>
      <w:marLeft w:val="0"/>
      <w:marRight w:val="0"/>
      <w:marTop w:val="0"/>
      <w:marBottom w:val="0"/>
      <w:divBdr>
        <w:top w:val="none" w:sz="0" w:space="0" w:color="auto"/>
        <w:left w:val="none" w:sz="0" w:space="0" w:color="auto"/>
        <w:bottom w:val="none" w:sz="0" w:space="0" w:color="auto"/>
        <w:right w:val="none" w:sz="0" w:space="0" w:color="auto"/>
      </w:divBdr>
    </w:div>
    <w:div w:id="919020523">
      <w:bodyDiv w:val="1"/>
      <w:marLeft w:val="0"/>
      <w:marRight w:val="0"/>
      <w:marTop w:val="0"/>
      <w:marBottom w:val="0"/>
      <w:divBdr>
        <w:top w:val="none" w:sz="0" w:space="0" w:color="auto"/>
        <w:left w:val="none" w:sz="0" w:space="0" w:color="auto"/>
        <w:bottom w:val="none" w:sz="0" w:space="0" w:color="auto"/>
        <w:right w:val="none" w:sz="0" w:space="0" w:color="auto"/>
      </w:divBdr>
    </w:div>
    <w:div w:id="924343562">
      <w:bodyDiv w:val="1"/>
      <w:marLeft w:val="0"/>
      <w:marRight w:val="0"/>
      <w:marTop w:val="0"/>
      <w:marBottom w:val="0"/>
      <w:divBdr>
        <w:top w:val="none" w:sz="0" w:space="0" w:color="auto"/>
        <w:left w:val="none" w:sz="0" w:space="0" w:color="auto"/>
        <w:bottom w:val="none" w:sz="0" w:space="0" w:color="auto"/>
        <w:right w:val="none" w:sz="0" w:space="0" w:color="auto"/>
      </w:divBdr>
    </w:div>
    <w:div w:id="942802634">
      <w:bodyDiv w:val="1"/>
      <w:marLeft w:val="0"/>
      <w:marRight w:val="0"/>
      <w:marTop w:val="0"/>
      <w:marBottom w:val="0"/>
      <w:divBdr>
        <w:top w:val="none" w:sz="0" w:space="0" w:color="auto"/>
        <w:left w:val="none" w:sz="0" w:space="0" w:color="auto"/>
        <w:bottom w:val="none" w:sz="0" w:space="0" w:color="auto"/>
        <w:right w:val="none" w:sz="0" w:space="0" w:color="auto"/>
      </w:divBdr>
    </w:div>
    <w:div w:id="947008874">
      <w:bodyDiv w:val="1"/>
      <w:marLeft w:val="0"/>
      <w:marRight w:val="0"/>
      <w:marTop w:val="0"/>
      <w:marBottom w:val="0"/>
      <w:divBdr>
        <w:top w:val="none" w:sz="0" w:space="0" w:color="auto"/>
        <w:left w:val="none" w:sz="0" w:space="0" w:color="auto"/>
        <w:bottom w:val="none" w:sz="0" w:space="0" w:color="auto"/>
        <w:right w:val="none" w:sz="0" w:space="0" w:color="auto"/>
      </w:divBdr>
    </w:div>
    <w:div w:id="960066716">
      <w:bodyDiv w:val="1"/>
      <w:marLeft w:val="0"/>
      <w:marRight w:val="0"/>
      <w:marTop w:val="0"/>
      <w:marBottom w:val="0"/>
      <w:divBdr>
        <w:top w:val="none" w:sz="0" w:space="0" w:color="auto"/>
        <w:left w:val="none" w:sz="0" w:space="0" w:color="auto"/>
        <w:bottom w:val="none" w:sz="0" w:space="0" w:color="auto"/>
        <w:right w:val="none" w:sz="0" w:space="0" w:color="auto"/>
      </w:divBdr>
    </w:div>
    <w:div w:id="984747531">
      <w:bodyDiv w:val="1"/>
      <w:marLeft w:val="0"/>
      <w:marRight w:val="0"/>
      <w:marTop w:val="0"/>
      <w:marBottom w:val="0"/>
      <w:divBdr>
        <w:top w:val="none" w:sz="0" w:space="0" w:color="auto"/>
        <w:left w:val="none" w:sz="0" w:space="0" w:color="auto"/>
        <w:bottom w:val="none" w:sz="0" w:space="0" w:color="auto"/>
        <w:right w:val="none" w:sz="0" w:space="0" w:color="auto"/>
      </w:divBdr>
    </w:div>
    <w:div w:id="988287773">
      <w:bodyDiv w:val="1"/>
      <w:marLeft w:val="0"/>
      <w:marRight w:val="0"/>
      <w:marTop w:val="0"/>
      <w:marBottom w:val="0"/>
      <w:divBdr>
        <w:top w:val="none" w:sz="0" w:space="0" w:color="auto"/>
        <w:left w:val="none" w:sz="0" w:space="0" w:color="auto"/>
        <w:bottom w:val="none" w:sz="0" w:space="0" w:color="auto"/>
        <w:right w:val="none" w:sz="0" w:space="0" w:color="auto"/>
      </w:divBdr>
    </w:div>
    <w:div w:id="1032849826">
      <w:bodyDiv w:val="1"/>
      <w:marLeft w:val="0"/>
      <w:marRight w:val="0"/>
      <w:marTop w:val="0"/>
      <w:marBottom w:val="0"/>
      <w:divBdr>
        <w:top w:val="none" w:sz="0" w:space="0" w:color="auto"/>
        <w:left w:val="none" w:sz="0" w:space="0" w:color="auto"/>
        <w:bottom w:val="none" w:sz="0" w:space="0" w:color="auto"/>
        <w:right w:val="none" w:sz="0" w:space="0" w:color="auto"/>
      </w:divBdr>
    </w:div>
    <w:div w:id="1065838134">
      <w:bodyDiv w:val="1"/>
      <w:marLeft w:val="0"/>
      <w:marRight w:val="0"/>
      <w:marTop w:val="0"/>
      <w:marBottom w:val="0"/>
      <w:divBdr>
        <w:top w:val="none" w:sz="0" w:space="0" w:color="auto"/>
        <w:left w:val="none" w:sz="0" w:space="0" w:color="auto"/>
        <w:bottom w:val="none" w:sz="0" w:space="0" w:color="auto"/>
        <w:right w:val="none" w:sz="0" w:space="0" w:color="auto"/>
      </w:divBdr>
    </w:div>
    <w:div w:id="1066564003">
      <w:bodyDiv w:val="1"/>
      <w:marLeft w:val="0"/>
      <w:marRight w:val="0"/>
      <w:marTop w:val="0"/>
      <w:marBottom w:val="0"/>
      <w:divBdr>
        <w:top w:val="none" w:sz="0" w:space="0" w:color="auto"/>
        <w:left w:val="none" w:sz="0" w:space="0" w:color="auto"/>
        <w:bottom w:val="none" w:sz="0" w:space="0" w:color="auto"/>
        <w:right w:val="none" w:sz="0" w:space="0" w:color="auto"/>
      </w:divBdr>
    </w:div>
    <w:div w:id="1076973824">
      <w:bodyDiv w:val="1"/>
      <w:marLeft w:val="0"/>
      <w:marRight w:val="0"/>
      <w:marTop w:val="0"/>
      <w:marBottom w:val="0"/>
      <w:divBdr>
        <w:top w:val="none" w:sz="0" w:space="0" w:color="auto"/>
        <w:left w:val="none" w:sz="0" w:space="0" w:color="auto"/>
        <w:bottom w:val="none" w:sz="0" w:space="0" w:color="auto"/>
        <w:right w:val="none" w:sz="0" w:space="0" w:color="auto"/>
      </w:divBdr>
    </w:div>
    <w:div w:id="1078014169">
      <w:bodyDiv w:val="1"/>
      <w:marLeft w:val="0"/>
      <w:marRight w:val="0"/>
      <w:marTop w:val="0"/>
      <w:marBottom w:val="0"/>
      <w:divBdr>
        <w:top w:val="none" w:sz="0" w:space="0" w:color="auto"/>
        <w:left w:val="none" w:sz="0" w:space="0" w:color="auto"/>
        <w:bottom w:val="none" w:sz="0" w:space="0" w:color="auto"/>
        <w:right w:val="none" w:sz="0" w:space="0" w:color="auto"/>
      </w:divBdr>
    </w:div>
    <w:div w:id="1086606982">
      <w:bodyDiv w:val="1"/>
      <w:marLeft w:val="0"/>
      <w:marRight w:val="0"/>
      <w:marTop w:val="0"/>
      <w:marBottom w:val="0"/>
      <w:divBdr>
        <w:top w:val="none" w:sz="0" w:space="0" w:color="auto"/>
        <w:left w:val="none" w:sz="0" w:space="0" w:color="auto"/>
        <w:bottom w:val="none" w:sz="0" w:space="0" w:color="auto"/>
        <w:right w:val="none" w:sz="0" w:space="0" w:color="auto"/>
      </w:divBdr>
    </w:div>
    <w:div w:id="1094740824">
      <w:bodyDiv w:val="1"/>
      <w:marLeft w:val="0"/>
      <w:marRight w:val="0"/>
      <w:marTop w:val="0"/>
      <w:marBottom w:val="0"/>
      <w:divBdr>
        <w:top w:val="none" w:sz="0" w:space="0" w:color="auto"/>
        <w:left w:val="none" w:sz="0" w:space="0" w:color="auto"/>
        <w:bottom w:val="none" w:sz="0" w:space="0" w:color="auto"/>
        <w:right w:val="none" w:sz="0" w:space="0" w:color="auto"/>
      </w:divBdr>
    </w:div>
    <w:div w:id="1095636349">
      <w:bodyDiv w:val="1"/>
      <w:marLeft w:val="0"/>
      <w:marRight w:val="0"/>
      <w:marTop w:val="0"/>
      <w:marBottom w:val="0"/>
      <w:divBdr>
        <w:top w:val="none" w:sz="0" w:space="0" w:color="auto"/>
        <w:left w:val="none" w:sz="0" w:space="0" w:color="auto"/>
        <w:bottom w:val="none" w:sz="0" w:space="0" w:color="auto"/>
        <w:right w:val="none" w:sz="0" w:space="0" w:color="auto"/>
      </w:divBdr>
    </w:div>
    <w:div w:id="1096898550">
      <w:bodyDiv w:val="1"/>
      <w:marLeft w:val="0"/>
      <w:marRight w:val="0"/>
      <w:marTop w:val="0"/>
      <w:marBottom w:val="0"/>
      <w:divBdr>
        <w:top w:val="none" w:sz="0" w:space="0" w:color="auto"/>
        <w:left w:val="none" w:sz="0" w:space="0" w:color="auto"/>
        <w:bottom w:val="none" w:sz="0" w:space="0" w:color="auto"/>
        <w:right w:val="none" w:sz="0" w:space="0" w:color="auto"/>
      </w:divBdr>
    </w:div>
    <w:div w:id="1097562648">
      <w:bodyDiv w:val="1"/>
      <w:marLeft w:val="0"/>
      <w:marRight w:val="0"/>
      <w:marTop w:val="0"/>
      <w:marBottom w:val="0"/>
      <w:divBdr>
        <w:top w:val="none" w:sz="0" w:space="0" w:color="auto"/>
        <w:left w:val="none" w:sz="0" w:space="0" w:color="auto"/>
        <w:bottom w:val="none" w:sz="0" w:space="0" w:color="auto"/>
        <w:right w:val="none" w:sz="0" w:space="0" w:color="auto"/>
      </w:divBdr>
    </w:div>
    <w:div w:id="1111241756">
      <w:bodyDiv w:val="1"/>
      <w:marLeft w:val="0"/>
      <w:marRight w:val="0"/>
      <w:marTop w:val="0"/>
      <w:marBottom w:val="0"/>
      <w:divBdr>
        <w:top w:val="none" w:sz="0" w:space="0" w:color="auto"/>
        <w:left w:val="none" w:sz="0" w:space="0" w:color="auto"/>
        <w:bottom w:val="none" w:sz="0" w:space="0" w:color="auto"/>
        <w:right w:val="none" w:sz="0" w:space="0" w:color="auto"/>
      </w:divBdr>
    </w:div>
    <w:div w:id="1149783477">
      <w:bodyDiv w:val="1"/>
      <w:marLeft w:val="0"/>
      <w:marRight w:val="0"/>
      <w:marTop w:val="0"/>
      <w:marBottom w:val="0"/>
      <w:divBdr>
        <w:top w:val="none" w:sz="0" w:space="0" w:color="auto"/>
        <w:left w:val="none" w:sz="0" w:space="0" w:color="auto"/>
        <w:bottom w:val="none" w:sz="0" w:space="0" w:color="auto"/>
        <w:right w:val="none" w:sz="0" w:space="0" w:color="auto"/>
      </w:divBdr>
    </w:div>
    <w:div w:id="1162312858">
      <w:bodyDiv w:val="1"/>
      <w:marLeft w:val="0"/>
      <w:marRight w:val="0"/>
      <w:marTop w:val="0"/>
      <w:marBottom w:val="0"/>
      <w:divBdr>
        <w:top w:val="none" w:sz="0" w:space="0" w:color="auto"/>
        <w:left w:val="none" w:sz="0" w:space="0" w:color="auto"/>
        <w:bottom w:val="none" w:sz="0" w:space="0" w:color="auto"/>
        <w:right w:val="none" w:sz="0" w:space="0" w:color="auto"/>
      </w:divBdr>
    </w:div>
    <w:div w:id="1167749493">
      <w:bodyDiv w:val="1"/>
      <w:marLeft w:val="0"/>
      <w:marRight w:val="0"/>
      <w:marTop w:val="0"/>
      <w:marBottom w:val="0"/>
      <w:divBdr>
        <w:top w:val="none" w:sz="0" w:space="0" w:color="auto"/>
        <w:left w:val="none" w:sz="0" w:space="0" w:color="auto"/>
        <w:bottom w:val="none" w:sz="0" w:space="0" w:color="auto"/>
        <w:right w:val="none" w:sz="0" w:space="0" w:color="auto"/>
      </w:divBdr>
    </w:div>
    <w:div w:id="1190218086">
      <w:bodyDiv w:val="1"/>
      <w:marLeft w:val="0"/>
      <w:marRight w:val="0"/>
      <w:marTop w:val="0"/>
      <w:marBottom w:val="0"/>
      <w:divBdr>
        <w:top w:val="none" w:sz="0" w:space="0" w:color="auto"/>
        <w:left w:val="none" w:sz="0" w:space="0" w:color="auto"/>
        <w:bottom w:val="none" w:sz="0" w:space="0" w:color="auto"/>
        <w:right w:val="none" w:sz="0" w:space="0" w:color="auto"/>
      </w:divBdr>
    </w:div>
    <w:div w:id="1202085604">
      <w:bodyDiv w:val="1"/>
      <w:marLeft w:val="0"/>
      <w:marRight w:val="0"/>
      <w:marTop w:val="0"/>
      <w:marBottom w:val="0"/>
      <w:divBdr>
        <w:top w:val="none" w:sz="0" w:space="0" w:color="auto"/>
        <w:left w:val="none" w:sz="0" w:space="0" w:color="auto"/>
        <w:bottom w:val="none" w:sz="0" w:space="0" w:color="auto"/>
        <w:right w:val="none" w:sz="0" w:space="0" w:color="auto"/>
      </w:divBdr>
    </w:div>
    <w:div w:id="1219587749">
      <w:bodyDiv w:val="1"/>
      <w:marLeft w:val="0"/>
      <w:marRight w:val="0"/>
      <w:marTop w:val="0"/>
      <w:marBottom w:val="0"/>
      <w:divBdr>
        <w:top w:val="none" w:sz="0" w:space="0" w:color="auto"/>
        <w:left w:val="none" w:sz="0" w:space="0" w:color="auto"/>
        <w:bottom w:val="none" w:sz="0" w:space="0" w:color="auto"/>
        <w:right w:val="none" w:sz="0" w:space="0" w:color="auto"/>
      </w:divBdr>
    </w:div>
    <w:div w:id="1225752407">
      <w:bodyDiv w:val="1"/>
      <w:marLeft w:val="0"/>
      <w:marRight w:val="0"/>
      <w:marTop w:val="0"/>
      <w:marBottom w:val="0"/>
      <w:divBdr>
        <w:top w:val="none" w:sz="0" w:space="0" w:color="auto"/>
        <w:left w:val="none" w:sz="0" w:space="0" w:color="auto"/>
        <w:bottom w:val="none" w:sz="0" w:space="0" w:color="auto"/>
        <w:right w:val="none" w:sz="0" w:space="0" w:color="auto"/>
      </w:divBdr>
    </w:div>
    <w:div w:id="1231771705">
      <w:bodyDiv w:val="1"/>
      <w:marLeft w:val="0"/>
      <w:marRight w:val="0"/>
      <w:marTop w:val="0"/>
      <w:marBottom w:val="0"/>
      <w:divBdr>
        <w:top w:val="none" w:sz="0" w:space="0" w:color="auto"/>
        <w:left w:val="none" w:sz="0" w:space="0" w:color="auto"/>
        <w:bottom w:val="none" w:sz="0" w:space="0" w:color="auto"/>
        <w:right w:val="none" w:sz="0" w:space="0" w:color="auto"/>
      </w:divBdr>
    </w:div>
    <w:div w:id="1238051173">
      <w:bodyDiv w:val="1"/>
      <w:marLeft w:val="0"/>
      <w:marRight w:val="0"/>
      <w:marTop w:val="0"/>
      <w:marBottom w:val="0"/>
      <w:divBdr>
        <w:top w:val="none" w:sz="0" w:space="0" w:color="auto"/>
        <w:left w:val="none" w:sz="0" w:space="0" w:color="auto"/>
        <w:bottom w:val="none" w:sz="0" w:space="0" w:color="auto"/>
        <w:right w:val="none" w:sz="0" w:space="0" w:color="auto"/>
      </w:divBdr>
    </w:div>
    <w:div w:id="1264462599">
      <w:bodyDiv w:val="1"/>
      <w:marLeft w:val="0"/>
      <w:marRight w:val="0"/>
      <w:marTop w:val="0"/>
      <w:marBottom w:val="0"/>
      <w:divBdr>
        <w:top w:val="none" w:sz="0" w:space="0" w:color="auto"/>
        <w:left w:val="none" w:sz="0" w:space="0" w:color="auto"/>
        <w:bottom w:val="none" w:sz="0" w:space="0" w:color="auto"/>
        <w:right w:val="none" w:sz="0" w:space="0" w:color="auto"/>
      </w:divBdr>
    </w:div>
    <w:div w:id="1276599937">
      <w:bodyDiv w:val="1"/>
      <w:marLeft w:val="0"/>
      <w:marRight w:val="0"/>
      <w:marTop w:val="0"/>
      <w:marBottom w:val="0"/>
      <w:divBdr>
        <w:top w:val="none" w:sz="0" w:space="0" w:color="auto"/>
        <w:left w:val="none" w:sz="0" w:space="0" w:color="auto"/>
        <w:bottom w:val="none" w:sz="0" w:space="0" w:color="auto"/>
        <w:right w:val="none" w:sz="0" w:space="0" w:color="auto"/>
      </w:divBdr>
    </w:div>
    <w:div w:id="1282346681">
      <w:bodyDiv w:val="1"/>
      <w:marLeft w:val="0"/>
      <w:marRight w:val="0"/>
      <w:marTop w:val="0"/>
      <w:marBottom w:val="0"/>
      <w:divBdr>
        <w:top w:val="none" w:sz="0" w:space="0" w:color="auto"/>
        <w:left w:val="none" w:sz="0" w:space="0" w:color="auto"/>
        <w:bottom w:val="none" w:sz="0" w:space="0" w:color="auto"/>
        <w:right w:val="none" w:sz="0" w:space="0" w:color="auto"/>
      </w:divBdr>
    </w:div>
    <w:div w:id="1287396726">
      <w:bodyDiv w:val="1"/>
      <w:marLeft w:val="0"/>
      <w:marRight w:val="0"/>
      <w:marTop w:val="0"/>
      <w:marBottom w:val="0"/>
      <w:divBdr>
        <w:top w:val="none" w:sz="0" w:space="0" w:color="auto"/>
        <w:left w:val="none" w:sz="0" w:space="0" w:color="auto"/>
        <w:bottom w:val="none" w:sz="0" w:space="0" w:color="auto"/>
        <w:right w:val="none" w:sz="0" w:space="0" w:color="auto"/>
      </w:divBdr>
    </w:div>
    <w:div w:id="1287662797">
      <w:bodyDiv w:val="1"/>
      <w:marLeft w:val="0"/>
      <w:marRight w:val="0"/>
      <w:marTop w:val="0"/>
      <w:marBottom w:val="0"/>
      <w:divBdr>
        <w:top w:val="none" w:sz="0" w:space="0" w:color="auto"/>
        <w:left w:val="none" w:sz="0" w:space="0" w:color="auto"/>
        <w:bottom w:val="none" w:sz="0" w:space="0" w:color="auto"/>
        <w:right w:val="none" w:sz="0" w:space="0" w:color="auto"/>
      </w:divBdr>
    </w:div>
    <w:div w:id="1298218102">
      <w:bodyDiv w:val="1"/>
      <w:marLeft w:val="0"/>
      <w:marRight w:val="0"/>
      <w:marTop w:val="0"/>
      <w:marBottom w:val="0"/>
      <w:divBdr>
        <w:top w:val="none" w:sz="0" w:space="0" w:color="auto"/>
        <w:left w:val="none" w:sz="0" w:space="0" w:color="auto"/>
        <w:bottom w:val="none" w:sz="0" w:space="0" w:color="auto"/>
        <w:right w:val="none" w:sz="0" w:space="0" w:color="auto"/>
      </w:divBdr>
    </w:div>
    <w:div w:id="1315795973">
      <w:bodyDiv w:val="1"/>
      <w:marLeft w:val="0"/>
      <w:marRight w:val="0"/>
      <w:marTop w:val="0"/>
      <w:marBottom w:val="0"/>
      <w:divBdr>
        <w:top w:val="none" w:sz="0" w:space="0" w:color="auto"/>
        <w:left w:val="none" w:sz="0" w:space="0" w:color="auto"/>
        <w:bottom w:val="none" w:sz="0" w:space="0" w:color="auto"/>
        <w:right w:val="none" w:sz="0" w:space="0" w:color="auto"/>
      </w:divBdr>
    </w:div>
    <w:div w:id="1317883813">
      <w:bodyDiv w:val="1"/>
      <w:marLeft w:val="0"/>
      <w:marRight w:val="0"/>
      <w:marTop w:val="0"/>
      <w:marBottom w:val="0"/>
      <w:divBdr>
        <w:top w:val="none" w:sz="0" w:space="0" w:color="auto"/>
        <w:left w:val="none" w:sz="0" w:space="0" w:color="auto"/>
        <w:bottom w:val="none" w:sz="0" w:space="0" w:color="auto"/>
        <w:right w:val="none" w:sz="0" w:space="0" w:color="auto"/>
      </w:divBdr>
    </w:div>
    <w:div w:id="1335106577">
      <w:bodyDiv w:val="1"/>
      <w:marLeft w:val="0"/>
      <w:marRight w:val="0"/>
      <w:marTop w:val="0"/>
      <w:marBottom w:val="0"/>
      <w:divBdr>
        <w:top w:val="none" w:sz="0" w:space="0" w:color="auto"/>
        <w:left w:val="none" w:sz="0" w:space="0" w:color="auto"/>
        <w:bottom w:val="none" w:sz="0" w:space="0" w:color="auto"/>
        <w:right w:val="none" w:sz="0" w:space="0" w:color="auto"/>
      </w:divBdr>
    </w:div>
    <w:div w:id="1344436898">
      <w:bodyDiv w:val="1"/>
      <w:marLeft w:val="0"/>
      <w:marRight w:val="0"/>
      <w:marTop w:val="0"/>
      <w:marBottom w:val="0"/>
      <w:divBdr>
        <w:top w:val="none" w:sz="0" w:space="0" w:color="auto"/>
        <w:left w:val="none" w:sz="0" w:space="0" w:color="auto"/>
        <w:bottom w:val="none" w:sz="0" w:space="0" w:color="auto"/>
        <w:right w:val="none" w:sz="0" w:space="0" w:color="auto"/>
      </w:divBdr>
    </w:div>
    <w:div w:id="1364092636">
      <w:bodyDiv w:val="1"/>
      <w:marLeft w:val="0"/>
      <w:marRight w:val="0"/>
      <w:marTop w:val="0"/>
      <w:marBottom w:val="0"/>
      <w:divBdr>
        <w:top w:val="none" w:sz="0" w:space="0" w:color="auto"/>
        <w:left w:val="none" w:sz="0" w:space="0" w:color="auto"/>
        <w:bottom w:val="none" w:sz="0" w:space="0" w:color="auto"/>
        <w:right w:val="none" w:sz="0" w:space="0" w:color="auto"/>
      </w:divBdr>
    </w:div>
    <w:div w:id="1368795974">
      <w:bodyDiv w:val="1"/>
      <w:marLeft w:val="0"/>
      <w:marRight w:val="0"/>
      <w:marTop w:val="0"/>
      <w:marBottom w:val="0"/>
      <w:divBdr>
        <w:top w:val="none" w:sz="0" w:space="0" w:color="auto"/>
        <w:left w:val="none" w:sz="0" w:space="0" w:color="auto"/>
        <w:bottom w:val="none" w:sz="0" w:space="0" w:color="auto"/>
        <w:right w:val="none" w:sz="0" w:space="0" w:color="auto"/>
      </w:divBdr>
    </w:div>
    <w:div w:id="1390610298">
      <w:bodyDiv w:val="1"/>
      <w:marLeft w:val="0"/>
      <w:marRight w:val="0"/>
      <w:marTop w:val="0"/>
      <w:marBottom w:val="0"/>
      <w:divBdr>
        <w:top w:val="none" w:sz="0" w:space="0" w:color="auto"/>
        <w:left w:val="none" w:sz="0" w:space="0" w:color="auto"/>
        <w:bottom w:val="none" w:sz="0" w:space="0" w:color="auto"/>
        <w:right w:val="none" w:sz="0" w:space="0" w:color="auto"/>
      </w:divBdr>
    </w:div>
    <w:div w:id="1414279285">
      <w:bodyDiv w:val="1"/>
      <w:marLeft w:val="0"/>
      <w:marRight w:val="0"/>
      <w:marTop w:val="0"/>
      <w:marBottom w:val="0"/>
      <w:divBdr>
        <w:top w:val="none" w:sz="0" w:space="0" w:color="auto"/>
        <w:left w:val="none" w:sz="0" w:space="0" w:color="auto"/>
        <w:bottom w:val="none" w:sz="0" w:space="0" w:color="auto"/>
        <w:right w:val="none" w:sz="0" w:space="0" w:color="auto"/>
      </w:divBdr>
    </w:div>
    <w:div w:id="1443260320">
      <w:bodyDiv w:val="1"/>
      <w:marLeft w:val="0"/>
      <w:marRight w:val="0"/>
      <w:marTop w:val="0"/>
      <w:marBottom w:val="0"/>
      <w:divBdr>
        <w:top w:val="none" w:sz="0" w:space="0" w:color="auto"/>
        <w:left w:val="none" w:sz="0" w:space="0" w:color="auto"/>
        <w:bottom w:val="none" w:sz="0" w:space="0" w:color="auto"/>
        <w:right w:val="none" w:sz="0" w:space="0" w:color="auto"/>
      </w:divBdr>
    </w:div>
    <w:div w:id="1452702607">
      <w:bodyDiv w:val="1"/>
      <w:marLeft w:val="0"/>
      <w:marRight w:val="0"/>
      <w:marTop w:val="0"/>
      <w:marBottom w:val="0"/>
      <w:divBdr>
        <w:top w:val="none" w:sz="0" w:space="0" w:color="auto"/>
        <w:left w:val="none" w:sz="0" w:space="0" w:color="auto"/>
        <w:bottom w:val="none" w:sz="0" w:space="0" w:color="auto"/>
        <w:right w:val="none" w:sz="0" w:space="0" w:color="auto"/>
      </w:divBdr>
    </w:div>
    <w:div w:id="1454637240">
      <w:bodyDiv w:val="1"/>
      <w:marLeft w:val="0"/>
      <w:marRight w:val="0"/>
      <w:marTop w:val="0"/>
      <w:marBottom w:val="0"/>
      <w:divBdr>
        <w:top w:val="none" w:sz="0" w:space="0" w:color="auto"/>
        <w:left w:val="none" w:sz="0" w:space="0" w:color="auto"/>
        <w:bottom w:val="none" w:sz="0" w:space="0" w:color="auto"/>
        <w:right w:val="none" w:sz="0" w:space="0" w:color="auto"/>
      </w:divBdr>
    </w:div>
    <w:div w:id="1456219696">
      <w:bodyDiv w:val="1"/>
      <w:marLeft w:val="0"/>
      <w:marRight w:val="0"/>
      <w:marTop w:val="0"/>
      <w:marBottom w:val="0"/>
      <w:divBdr>
        <w:top w:val="none" w:sz="0" w:space="0" w:color="auto"/>
        <w:left w:val="none" w:sz="0" w:space="0" w:color="auto"/>
        <w:bottom w:val="none" w:sz="0" w:space="0" w:color="auto"/>
        <w:right w:val="none" w:sz="0" w:space="0" w:color="auto"/>
      </w:divBdr>
    </w:div>
    <w:div w:id="1466855147">
      <w:bodyDiv w:val="1"/>
      <w:marLeft w:val="0"/>
      <w:marRight w:val="0"/>
      <w:marTop w:val="0"/>
      <w:marBottom w:val="0"/>
      <w:divBdr>
        <w:top w:val="none" w:sz="0" w:space="0" w:color="auto"/>
        <w:left w:val="none" w:sz="0" w:space="0" w:color="auto"/>
        <w:bottom w:val="none" w:sz="0" w:space="0" w:color="auto"/>
        <w:right w:val="none" w:sz="0" w:space="0" w:color="auto"/>
      </w:divBdr>
    </w:div>
    <w:div w:id="1482039959">
      <w:bodyDiv w:val="1"/>
      <w:marLeft w:val="0"/>
      <w:marRight w:val="0"/>
      <w:marTop w:val="0"/>
      <w:marBottom w:val="0"/>
      <w:divBdr>
        <w:top w:val="none" w:sz="0" w:space="0" w:color="auto"/>
        <w:left w:val="none" w:sz="0" w:space="0" w:color="auto"/>
        <w:bottom w:val="none" w:sz="0" w:space="0" w:color="auto"/>
        <w:right w:val="none" w:sz="0" w:space="0" w:color="auto"/>
      </w:divBdr>
    </w:div>
    <w:div w:id="1484081684">
      <w:bodyDiv w:val="1"/>
      <w:marLeft w:val="0"/>
      <w:marRight w:val="0"/>
      <w:marTop w:val="0"/>
      <w:marBottom w:val="0"/>
      <w:divBdr>
        <w:top w:val="none" w:sz="0" w:space="0" w:color="auto"/>
        <w:left w:val="none" w:sz="0" w:space="0" w:color="auto"/>
        <w:bottom w:val="none" w:sz="0" w:space="0" w:color="auto"/>
        <w:right w:val="none" w:sz="0" w:space="0" w:color="auto"/>
      </w:divBdr>
    </w:div>
    <w:div w:id="1499151190">
      <w:bodyDiv w:val="1"/>
      <w:marLeft w:val="0"/>
      <w:marRight w:val="0"/>
      <w:marTop w:val="0"/>
      <w:marBottom w:val="0"/>
      <w:divBdr>
        <w:top w:val="none" w:sz="0" w:space="0" w:color="auto"/>
        <w:left w:val="none" w:sz="0" w:space="0" w:color="auto"/>
        <w:bottom w:val="none" w:sz="0" w:space="0" w:color="auto"/>
        <w:right w:val="none" w:sz="0" w:space="0" w:color="auto"/>
      </w:divBdr>
    </w:div>
    <w:div w:id="1590433001">
      <w:bodyDiv w:val="1"/>
      <w:marLeft w:val="0"/>
      <w:marRight w:val="0"/>
      <w:marTop w:val="0"/>
      <w:marBottom w:val="0"/>
      <w:divBdr>
        <w:top w:val="none" w:sz="0" w:space="0" w:color="auto"/>
        <w:left w:val="none" w:sz="0" w:space="0" w:color="auto"/>
        <w:bottom w:val="none" w:sz="0" w:space="0" w:color="auto"/>
        <w:right w:val="none" w:sz="0" w:space="0" w:color="auto"/>
      </w:divBdr>
    </w:div>
    <w:div w:id="1601255643">
      <w:bodyDiv w:val="1"/>
      <w:marLeft w:val="0"/>
      <w:marRight w:val="0"/>
      <w:marTop w:val="0"/>
      <w:marBottom w:val="0"/>
      <w:divBdr>
        <w:top w:val="none" w:sz="0" w:space="0" w:color="auto"/>
        <w:left w:val="none" w:sz="0" w:space="0" w:color="auto"/>
        <w:bottom w:val="none" w:sz="0" w:space="0" w:color="auto"/>
        <w:right w:val="none" w:sz="0" w:space="0" w:color="auto"/>
      </w:divBdr>
    </w:div>
    <w:div w:id="1603954462">
      <w:bodyDiv w:val="1"/>
      <w:marLeft w:val="0"/>
      <w:marRight w:val="0"/>
      <w:marTop w:val="0"/>
      <w:marBottom w:val="0"/>
      <w:divBdr>
        <w:top w:val="none" w:sz="0" w:space="0" w:color="auto"/>
        <w:left w:val="none" w:sz="0" w:space="0" w:color="auto"/>
        <w:bottom w:val="none" w:sz="0" w:space="0" w:color="auto"/>
        <w:right w:val="none" w:sz="0" w:space="0" w:color="auto"/>
      </w:divBdr>
    </w:div>
    <w:div w:id="1616907971">
      <w:bodyDiv w:val="1"/>
      <w:marLeft w:val="0"/>
      <w:marRight w:val="0"/>
      <w:marTop w:val="0"/>
      <w:marBottom w:val="0"/>
      <w:divBdr>
        <w:top w:val="none" w:sz="0" w:space="0" w:color="auto"/>
        <w:left w:val="none" w:sz="0" w:space="0" w:color="auto"/>
        <w:bottom w:val="none" w:sz="0" w:space="0" w:color="auto"/>
        <w:right w:val="none" w:sz="0" w:space="0" w:color="auto"/>
      </w:divBdr>
    </w:div>
    <w:div w:id="1637449409">
      <w:bodyDiv w:val="1"/>
      <w:marLeft w:val="0"/>
      <w:marRight w:val="0"/>
      <w:marTop w:val="0"/>
      <w:marBottom w:val="0"/>
      <w:divBdr>
        <w:top w:val="none" w:sz="0" w:space="0" w:color="auto"/>
        <w:left w:val="none" w:sz="0" w:space="0" w:color="auto"/>
        <w:bottom w:val="none" w:sz="0" w:space="0" w:color="auto"/>
        <w:right w:val="none" w:sz="0" w:space="0" w:color="auto"/>
      </w:divBdr>
    </w:div>
    <w:div w:id="1640381664">
      <w:bodyDiv w:val="1"/>
      <w:marLeft w:val="0"/>
      <w:marRight w:val="0"/>
      <w:marTop w:val="0"/>
      <w:marBottom w:val="0"/>
      <w:divBdr>
        <w:top w:val="none" w:sz="0" w:space="0" w:color="auto"/>
        <w:left w:val="none" w:sz="0" w:space="0" w:color="auto"/>
        <w:bottom w:val="none" w:sz="0" w:space="0" w:color="auto"/>
        <w:right w:val="none" w:sz="0" w:space="0" w:color="auto"/>
      </w:divBdr>
    </w:div>
    <w:div w:id="1643657632">
      <w:bodyDiv w:val="1"/>
      <w:marLeft w:val="0"/>
      <w:marRight w:val="0"/>
      <w:marTop w:val="0"/>
      <w:marBottom w:val="0"/>
      <w:divBdr>
        <w:top w:val="none" w:sz="0" w:space="0" w:color="auto"/>
        <w:left w:val="none" w:sz="0" w:space="0" w:color="auto"/>
        <w:bottom w:val="none" w:sz="0" w:space="0" w:color="auto"/>
        <w:right w:val="none" w:sz="0" w:space="0" w:color="auto"/>
      </w:divBdr>
    </w:div>
    <w:div w:id="1672877553">
      <w:bodyDiv w:val="1"/>
      <w:marLeft w:val="0"/>
      <w:marRight w:val="0"/>
      <w:marTop w:val="0"/>
      <w:marBottom w:val="0"/>
      <w:divBdr>
        <w:top w:val="none" w:sz="0" w:space="0" w:color="auto"/>
        <w:left w:val="none" w:sz="0" w:space="0" w:color="auto"/>
        <w:bottom w:val="none" w:sz="0" w:space="0" w:color="auto"/>
        <w:right w:val="none" w:sz="0" w:space="0" w:color="auto"/>
      </w:divBdr>
    </w:div>
    <w:div w:id="1673724556">
      <w:bodyDiv w:val="1"/>
      <w:marLeft w:val="0"/>
      <w:marRight w:val="0"/>
      <w:marTop w:val="0"/>
      <w:marBottom w:val="0"/>
      <w:divBdr>
        <w:top w:val="none" w:sz="0" w:space="0" w:color="auto"/>
        <w:left w:val="none" w:sz="0" w:space="0" w:color="auto"/>
        <w:bottom w:val="none" w:sz="0" w:space="0" w:color="auto"/>
        <w:right w:val="none" w:sz="0" w:space="0" w:color="auto"/>
      </w:divBdr>
    </w:div>
    <w:div w:id="1675263306">
      <w:bodyDiv w:val="1"/>
      <w:marLeft w:val="0"/>
      <w:marRight w:val="0"/>
      <w:marTop w:val="0"/>
      <w:marBottom w:val="0"/>
      <w:divBdr>
        <w:top w:val="none" w:sz="0" w:space="0" w:color="auto"/>
        <w:left w:val="none" w:sz="0" w:space="0" w:color="auto"/>
        <w:bottom w:val="none" w:sz="0" w:space="0" w:color="auto"/>
        <w:right w:val="none" w:sz="0" w:space="0" w:color="auto"/>
      </w:divBdr>
    </w:div>
    <w:div w:id="1685479847">
      <w:bodyDiv w:val="1"/>
      <w:marLeft w:val="0"/>
      <w:marRight w:val="0"/>
      <w:marTop w:val="0"/>
      <w:marBottom w:val="0"/>
      <w:divBdr>
        <w:top w:val="none" w:sz="0" w:space="0" w:color="auto"/>
        <w:left w:val="none" w:sz="0" w:space="0" w:color="auto"/>
        <w:bottom w:val="none" w:sz="0" w:space="0" w:color="auto"/>
        <w:right w:val="none" w:sz="0" w:space="0" w:color="auto"/>
      </w:divBdr>
    </w:div>
    <w:div w:id="1687713951">
      <w:bodyDiv w:val="1"/>
      <w:marLeft w:val="0"/>
      <w:marRight w:val="0"/>
      <w:marTop w:val="0"/>
      <w:marBottom w:val="0"/>
      <w:divBdr>
        <w:top w:val="none" w:sz="0" w:space="0" w:color="auto"/>
        <w:left w:val="none" w:sz="0" w:space="0" w:color="auto"/>
        <w:bottom w:val="none" w:sz="0" w:space="0" w:color="auto"/>
        <w:right w:val="none" w:sz="0" w:space="0" w:color="auto"/>
      </w:divBdr>
    </w:div>
    <w:div w:id="1690175352">
      <w:bodyDiv w:val="1"/>
      <w:marLeft w:val="0"/>
      <w:marRight w:val="0"/>
      <w:marTop w:val="0"/>
      <w:marBottom w:val="0"/>
      <w:divBdr>
        <w:top w:val="none" w:sz="0" w:space="0" w:color="auto"/>
        <w:left w:val="none" w:sz="0" w:space="0" w:color="auto"/>
        <w:bottom w:val="none" w:sz="0" w:space="0" w:color="auto"/>
        <w:right w:val="none" w:sz="0" w:space="0" w:color="auto"/>
      </w:divBdr>
    </w:div>
    <w:div w:id="1692604525">
      <w:bodyDiv w:val="1"/>
      <w:marLeft w:val="0"/>
      <w:marRight w:val="0"/>
      <w:marTop w:val="0"/>
      <w:marBottom w:val="0"/>
      <w:divBdr>
        <w:top w:val="none" w:sz="0" w:space="0" w:color="auto"/>
        <w:left w:val="none" w:sz="0" w:space="0" w:color="auto"/>
        <w:bottom w:val="none" w:sz="0" w:space="0" w:color="auto"/>
        <w:right w:val="none" w:sz="0" w:space="0" w:color="auto"/>
      </w:divBdr>
    </w:div>
    <w:div w:id="1699238697">
      <w:bodyDiv w:val="1"/>
      <w:marLeft w:val="0"/>
      <w:marRight w:val="0"/>
      <w:marTop w:val="0"/>
      <w:marBottom w:val="0"/>
      <w:divBdr>
        <w:top w:val="none" w:sz="0" w:space="0" w:color="auto"/>
        <w:left w:val="none" w:sz="0" w:space="0" w:color="auto"/>
        <w:bottom w:val="none" w:sz="0" w:space="0" w:color="auto"/>
        <w:right w:val="none" w:sz="0" w:space="0" w:color="auto"/>
      </w:divBdr>
    </w:div>
    <w:div w:id="1714576090">
      <w:bodyDiv w:val="1"/>
      <w:marLeft w:val="0"/>
      <w:marRight w:val="0"/>
      <w:marTop w:val="0"/>
      <w:marBottom w:val="0"/>
      <w:divBdr>
        <w:top w:val="none" w:sz="0" w:space="0" w:color="auto"/>
        <w:left w:val="none" w:sz="0" w:space="0" w:color="auto"/>
        <w:bottom w:val="none" w:sz="0" w:space="0" w:color="auto"/>
        <w:right w:val="none" w:sz="0" w:space="0" w:color="auto"/>
      </w:divBdr>
    </w:div>
    <w:div w:id="1716924111">
      <w:bodyDiv w:val="1"/>
      <w:marLeft w:val="0"/>
      <w:marRight w:val="0"/>
      <w:marTop w:val="0"/>
      <w:marBottom w:val="0"/>
      <w:divBdr>
        <w:top w:val="none" w:sz="0" w:space="0" w:color="auto"/>
        <w:left w:val="none" w:sz="0" w:space="0" w:color="auto"/>
        <w:bottom w:val="none" w:sz="0" w:space="0" w:color="auto"/>
        <w:right w:val="none" w:sz="0" w:space="0" w:color="auto"/>
      </w:divBdr>
    </w:div>
    <w:div w:id="1720470688">
      <w:bodyDiv w:val="1"/>
      <w:marLeft w:val="0"/>
      <w:marRight w:val="0"/>
      <w:marTop w:val="0"/>
      <w:marBottom w:val="0"/>
      <w:divBdr>
        <w:top w:val="none" w:sz="0" w:space="0" w:color="auto"/>
        <w:left w:val="none" w:sz="0" w:space="0" w:color="auto"/>
        <w:bottom w:val="none" w:sz="0" w:space="0" w:color="auto"/>
        <w:right w:val="none" w:sz="0" w:space="0" w:color="auto"/>
      </w:divBdr>
    </w:div>
    <w:div w:id="1721438373">
      <w:bodyDiv w:val="1"/>
      <w:marLeft w:val="0"/>
      <w:marRight w:val="0"/>
      <w:marTop w:val="0"/>
      <w:marBottom w:val="0"/>
      <w:divBdr>
        <w:top w:val="none" w:sz="0" w:space="0" w:color="auto"/>
        <w:left w:val="none" w:sz="0" w:space="0" w:color="auto"/>
        <w:bottom w:val="none" w:sz="0" w:space="0" w:color="auto"/>
        <w:right w:val="none" w:sz="0" w:space="0" w:color="auto"/>
      </w:divBdr>
    </w:div>
    <w:div w:id="1729914531">
      <w:bodyDiv w:val="1"/>
      <w:marLeft w:val="0"/>
      <w:marRight w:val="0"/>
      <w:marTop w:val="0"/>
      <w:marBottom w:val="0"/>
      <w:divBdr>
        <w:top w:val="none" w:sz="0" w:space="0" w:color="auto"/>
        <w:left w:val="none" w:sz="0" w:space="0" w:color="auto"/>
        <w:bottom w:val="none" w:sz="0" w:space="0" w:color="auto"/>
        <w:right w:val="none" w:sz="0" w:space="0" w:color="auto"/>
      </w:divBdr>
    </w:div>
    <w:div w:id="1743329886">
      <w:bodyDiv w:val="1"/>
      <w:marLeft w:val="0"/>
      <w:marRight w:val="0"/>
      <w:marTop w:val="0"/>
      <w:marBottom w:val="0"/>
      <w:divBdr>
        <w:top w:val="none" w:sz="0" w:space="0" w:color="auto"/>
        <w:left w:val="none" w:sz="0" w:space="0" w:color="auto"/>
        <w:bottom w:val="none" w:sz="0" w:space="0" w:color="auto"/>
        <w:right w:val="none" w:sz="0" w:space="0" w:color="auto"/>
      </w:divBdr>
    </w:div>
    <w:div w:id="1748838476">
      <w:bodyDiv w:val="1"/>
      <w:marLeft w:val="0"/>
      <w:marRight w:val="0"/>
      <w:marTop w:val="0"/>
      <w:marBottom w:val="0"/>
      <w:divBdr>
        <w:top w:val="none" w:sz="0" w:space="0" w:color="auto"/>
        <w:left w:val="none" w:sz="0" w:space="0" w:color="auto"/>
        <w:bottom w:val="none" w:sz="0" w:space="0" w:color="auto"/>
        <w:right w:val="none" w:sz="0" w:space="0" w:color="auto"/>
      </w:divBdr>
    </w:div>
    <w:div w:id="1787041620">
      <w:bodyDiv w:val="1"/>
      <w:marLeft w:val="0"/>
      <w:marRight w:val="0"/>
      <w:marTop w:val="0"/>
      <w:marBottom w:val="0"/>
      <w:divBdr>
        <w:top w:val="none" w:sz="0" w:space="0" w:color="auto"/>
        <w:left w:val="none" w:sz="0" w:space="0" w:color="auto"/>
        <w:bottom w:val="none" w:sz="0" w:space="0" w:color="auto"/>
        <w:right w:val="none" w:sz="0" w:space="0" w:color="auto"/>
      </w:divBdr>
    </w:div>
    <w:div w:id="1805460633">
      <w:bodyDiv w:val="1"/>
      <w:marLeft w:val="0"/>
      <w:marRight w:val="0"/>
      <w:marTop w:val="0"/>
      <w:marBottom w:val="0"/>
      <w:divBdr>
        <w:top w:val="none" w:sz="0" w:space="0" w:color="auto"/>
        <w:left w:val="none" w:sz="0" w:space="0" w:color="auto"/>
        <w:bottom w:val="none" w:sz="0" w:space="0" w:color="auto"/>
        <w:right w:val="none" w:sz="0" w:space="0" w:color="auto"/>
      </w:divBdr>
    </w:div>
    <w:div w:id="1828324931">
      <w:bodyDiv w:val="1"/>
      <w:marLeft w:val="0"/>
      <w:marRight w:val="0"/>
      <w:marTop w:val="0"/>
      <w:marBottom w:val="0"/>
      <w:divBdr>
        <w:top w:val="none" w:sz="0" w:space="0" w:color="auto"/>
        <w:left w:val="none" w:sz="0" w:space="0" w:color="auto"/>
        <w:bottom w:val="none" w:sz="0" w:space="0" w:color="auto"/>
        <w:right w:val="none" w:sz="0" w:space="0" w:color="auto"/>
      </w:divBdr>
    </w:div>
    <w:div w:id="1846558046">
      <w:bodyDiv w:val="1"/>
      <w:marLeft w:val="0"/>
      <w:marRight w:val="0"/>
      <w:marTop w:val="0"/>
      <w:marBottom w:val="0"/>
      <w:divBdr>
        <w:top w:val="none" w:sz="0" w:space="0" w:color="auto"/>
        <w:left w:val="none" w:sz="0" w:space="0" w:color="auto"/>
        <w:bottom w:val="none" w:sz="0" w:space="0" w:color="auto"/>
        <w:right w:val="none" w:sz="0" w:space="0" w:color="auto"/>
      </w:divBdr>
    </w:div>
    <w:div w:id="1873573096">
      <w:bodyDiv w:val="1"/>
      <w:marLeft w:val="0"/>
      <w:marRight w:val="0"/>
      <w:marTop w:val="0"/>
      <w:marBottom w:val="0"/>
      <w:divBdr>
        <w:top w:val="none" w:sz="0" w:space="0" w:color="auto"/>
        <w:left w:val="none" w:sz="0" w:space="0" w:color="auto"/>
        <w:bottom w:val="none" w:sz="0" w:space="0" w:color="auto"/>
        <w:right w:val="none" w:sz="0" w:space="0" w:color="auto"/>
      </w:divBdr>
    </w:div>
    <w:div w:id="1885483821">
      <w:bodyDiv w:val="1"/>
      <w:marLeft w:val="0"/>
      <w:marRight w:val="0"/>
      <w:marTop w:val="0"/>
      <w:marBottom w:val="0"/>
      <w:divBdr>
        <w:top w:val="none" w:sz="0" w:space="0" w:color="auto"/>
        <w:left w:val="none" w:sz="0" w:space="0" w:color="auto"/>
        <w:bottom w:val="none" w:sz="0" w:space="0" w:color="auto"/>
        <w:right w:val="none" w:sz="0" w:space="0" w:color="auto"/>
      </w:divBdr>
    </w:div>
    <w:div w:id="1895118674">
      <w:bodyDiv w:val="1"/>
      <w:marLeft w:val="0"/>
      <w:marRight w:val="0"/>
      <w:marTop w:val="0"/>
      <w:marBottom w:val="0"/>
      <w:divBdr>
        <w:top w:val="none" w:sz="0" w:space="0" w:color="auto"/>
        <w:left w:val="none" w:sz="0" w:space="0" w:color="auto"/>
        <w:bottom w:val="none" w:sz="0" w:space="0" w:color="auto"/>
        <w:right w:val="none" w:sz="0" w:space="0" w:color="auto"/>
      </w:divBdr>
    </w:div>
    <w:div w:id="1896621792">
      <w:bodyDiv w:val="1"/>
      <w:marLeft w:val="0"/>
      <w:marRight w:val="0"/>
      <w:marTop w:val="0"/>
      <w:marBottom w:val="0"/>
      <w:divBdr>
        <w:top w:val="none" w:sz="0" w:space="0" w:color="auto"/>
        <w:left w:val="none" w:sz="0" w:space="0" w:color="auto"/>
        <w:bottom w:val="none" w:sz="0" w:space="0" w:color="auto"/>
        <w:right w:val="none" w:sz="0" w:space="0" w:color="auto"/>
      </w:divBdr>
    </w:div>
    <w:div w:id="1937053092">
      <w:bodyDiv w:val="1"/>
      <w:marLeft w:val="0"/>
      <w:marRight w:val="0"/>
      <w:marTop w:val="0"/>
      <w:marBottom w:val="0"/>
      <w:divBdr>
        <w:top w:val="none" w:sz="0" w:space="0" w:color="auto"/>
        <w:left w:val="none" w:sz="0" w:space="0" w:color="auto"/>
        <w:bottom w:val="none" w:sz="0" w:space="0" w:color="auto"/>
        <w:right w:val="none" w:sz="0" w:space="0" w:color="auto"/>
      </w:divBdr>
    </w:div>
    <w:div w:id="1940916389">
      <w:bodyDiv w:val="1"/>
      <w:marLeft w:val="0"/>
      <w:marRight w:val="0"/>
      <w:marTop w:val="0"/>
      <w:marBottom w:val="0"/>
      <w:divBdr>
        <w:top w:val="none" w:sz="0" w:space="0" w:color="auto"/>
        <w:left w:val="none" w:sz="0" w:space="0" w:color="auto"/>
        <w:bottom w:val="none" w:sz="0" w:space="0" w:color="auto"/>
        <w:right w:val="none" w:sz="0" w:space="0" w:color="auto"/>
      </w:divBdr>
    </w:div>
    <w:div w:id="1963999772">
      <w:bodyDiv w:val="1"/>
      <w:marLeft w:val="0"/>
      <w:marRight w:val="0"/>
      <w:marTop w:val="0"/>
      <w:marBottom w:val="0"/>
      <w:divBdr>
        <w:top w:val="none" w:sz="0" w:space="0" w:color="auto"/>
        <w:left w:val="none" w:sz="0" w:space="0" w:color="auto"/>
        <w:bottom w:val="none" w:sz="0" w:space="0" w:color="auto"/>
        <w:right w:val="none" w:sz="0" w:space="0" w:color="auto"/>
      </w:divBdr>
    </w:div>
    <w:div w:id="1982805195">
      <w:bodyDiv w:val="1"/>
      <w:marLeft w:val="0"/>
      <w:marRight w:val="0"/>
      <w:marTop w:val="0"/>
      <w:marBottom w:val="0"/>
      <w:divBdr>
        <w:top w:val="none" w:sz="0" w:space="0" w:color="auto"/>
        <w:left w:val="none" w:sz="0" w:space="0" w:color="auto"/>
        <w:bottom w:val="none" w:sz="0" w:space="0" w:color="auto"/>
        <w:right w:val="none" w:sz="0" w:space="0" w:color="auto"/>
      </w:divBdr>
    </w:div>
    <w:div w:id="2004233184">
      <w:bodyDiv w:val="1"/>
      <w:marLeft w:val="0"/>
      <w:marRight w:val="0"/>
      <w:marTop w:val="0"/>
      <w:marBottom w:val="0"/>
      <w:divBdr>
        <w:top w:val="none" w:sz="0" w:space="0" w:color="auto"/>
        <w:left w:val="none" w:sz="0" w:space="0" w:color="auto"/>
        <w:bottom w:val="none" w:sz="0" w:space="0" w:color="auto"/>
        <w:right w:val="none" w:sz="0" w:space="0" w:color="auto"/>
      </w:divBdr>
    </w:div>
    <w:div w:id="2015722666">
      <w:bodyDiv w:val="1"/>
      <w:marLeft w:val="0"/>
      <w:marRight w:val="0"/>
      <w:marTop w:val="0"/>
      <w:marBottom w:val="0"/>
      <w:divBdr>
        <w:top w:val="none" w:sz="0" w:space="0" w:color="auto"/>
        <w:left w:val="none" w:sz="0" w:space="0" w:color="auto"/>
        <w:bottom w:val="none" w:sz="0" w:space="0" w:color="auto"/>
        <w:right w:val="none" w:sz="0" w:space="0" w:color="auto"/>
      </w:divBdr>
    </w:div>
    <w:div w:id="2016030851">
      <w:bodyDiv w:val="1"/>
      <w:marLeft w:val="0"/>
      <w:marRight w:val="0"/>
      <w:marTop w:val="0"/>
      <w:marBottom w:val="0"/>
      <w:divBdr>
        <w:top w:val="none" w:sz="0" w:space="0" w:color="auto"/>
        <w:left w:val="none" w:sz="0" w:space="0" w:color="auto"/>
        <w:bottom w:val="none" w:sz="0" w:space="0" w:color="auto"/>
        <w:right w:val="none" w:sz="0" w:space="0" w:color="auto"/>
      </w:divBdr>
    </w:div>
    <w:div w:id="2051563753">
      <w:bodyDiv w:val="1"/>
      <w:marLeft w:val="0"/>
      <w:marRight w:val="0"/>
      <w:marTop w:val="0"/>
      <w:marBottom w:val="0"/>
      <w:divBdr>
        <w:top w:val="none" w:sz="0" w:space="0" w:color="auto"/>
        <w:left w:val="none" w:sz="0" w:space="0" w:color="auto"/>
        <w:bottom w:val="none" w:sz="0" w:space="0" w:color="auto"/>
        <w:right w:val="none" w:sz="0" w:space="0" w:color="auto"/>
      </w:divBdr>
    </w:div>
    <w:div w:id="2063556431">
      <w:bodyDiv w:val="1"/>
      <w:marLeft w:val="0"/>
      <w:marRight w:val="0"/>
      <w:marTop w:val="0"/>
      <w:marBottom w:val="0"/>
      <w:divBdr>
        <w:top w:val="none" w:sz="0" w:space="0" w:color="auto"/>
        <w:left w:val="none" w:sz="0" w:space="0" w:color="auto"/>
        <w:bottom w:val="none" w:sz="0" w:space="0" w:color="auto"/>
        <w:right w:val="none" w:sz="0" w:space="0" w:color="auto"/>
      </w:divBdr>
    </w:div>
    <w:div w:id="2069718479">
      <w:bodyDiv w:val="1"/>
      <w:marLeft w:val="0"/>
      <w:marRight w:val="0"/>
      <w:marTop w:val="0"/>
      <w:marBottom w:val="0"/>
      <w:divBdr>
        <w:top w:val="none" w:sz="0" w:space="0" w:color="auto"/>
        <w:left w:val="none" w:sz="0" w:space="0" w:color="auto"/>
        <w:bottom w:val="none" w:sz="0" w:space="0" w:color="auto"/>
        <w:right w:val="none" w:sz="0" w:space="0" w:color="auto"/>
      </w:divBdr>
    </w:div>
    <w:div w:id="2072464096">
      <w:bodyDiv w:val="1"/>
      <w:marLeft w:val="0"/>
      <w:marRight w:val="0"/>
      <w:marTop w:val="0"/>
      <w:marBottom w:val="0"/>
      <w:divBdr>
        <w:top w:val="none" w:sz="0" w:space="0" w:color="auto"/>
        <w:left w:val="none" w:sz="0" w:space="0" w:color="auto"/>
        <w:bottom w:val="none" w:sz="0" w:space="0" w:color="auto"/>
        <w:right w:val="none" w:sz="0" w:space="0" w:color="auto"/>
      </w:divBdr>
    </w:div>
    <w:div w:id="2086493888">
      <w:bodyDiv w:val="1"/>
      <w:marLeft w:val="0"/>
      <w:marRight w:val="0"/>
      <w:marTop w:val="0"/>
      <w:marBottom w:val="0"/>
      <w:divBdr>
        <w:top w:val="none" w:sz="0" w:space="0" w:color="auto"/>
        <w:left w:val="none" w:sz="0" w:space="0" w:color="auto"/>
        <w:bottom w:val="none" w:sz="0" w:space="0" w:color="auto"/>
        <w:right w:val="none" w:sz="0" w:space="0" w:color="auto"/>
      </w:divBdr>
    </w:div>
    <w:div w:id="2094429362">
      <w:bodyDiv w:val="1"/>
      <w:marLeft w:val="0"/>
      <w:marRight w:val="0"/>
      <w:marTop w:val="0"/>
      <w:marBottom w:val="0"/>
      <w:divBdr>
        <w:top w:val="none" w:sz="0" w:space="0" w:color="auto"/>
        <w:left w:val="none" w:sz="0" w:space="0" w:color="auto"/>
        <w:bottom w:val="none" w:sz="0" w:space="0" w:color="auto"/>
        <w:right w:val="none" w:sz="0" w:space="0" w:color="auto"/>
      </w:divBdr>
    </w:div>
    <w:div w:id="2105807897">
      <w:bodyDiv w:val="1"/>
      <w:marLeft w:val="0"/>
      <w:marRight w:val="0"/>
      <w:marTop w:val="0"/>
      <w:marBottom w:val="0"/>
      <w:divBdr>
        <w:top w:val="none" w:sz="0" w:space="0" w:color="auto"/>
        <w:left w:val="none" w:sz="0" w:space="0" w:color="auto"/>
        <w:bottom w:val="none" w:sz="0" w:space="0" w:color="auto"/>
        <w:right w:val="none" w:sz="0" w:space="0" w:color="auto"/>
      </w:divBdr>
    </w:div>
    <w:div w:id="2105953678">
      <w:bodyDiv w:val="1"/>
      <w:marLeft w:val="0"/>
      <w:marRight w:val="0"/>
      <w:marTop w:val="0"/>
      <w:marBottom w:val="0"/>
      <w:divBdr>
        <w:top w:val="none" w:sz="0" w:space="0" w:color="auto"/>
        <w:left w:val="none" w:sz="0" w:space="0" w:color="auto"/>
        <w:bottom w:val="none" w:sz="0" w:space="0" w:color="auto"/>
        <w:right w:val="none" w:sz="0" w:space="0" w:color="auto"/>
      </w:divBdr>
    </w:div>
    <w:div w:id="2107193452">
      <w:bodyDiv w:val="1"/>
      <w:marLeft w:val="0"/>
      <w:marRight w:val="0"/>
      <w:marTop w:val="0"/>
      <w:marBottom w:val="0"/>
      <w:divBdr>
        <w:top w:val="none" w:sz="0" w:space="0" w:color="auto"/>
        <w:left w:val="none" w:sz="0" w:space="0" w:color="auto"/>
        <w:bottom w:val="none" w:sz="0" w:space="0" w:color="auto"/>
        <w:right w:val="none" w:sz="0" w:space="0" w:color="auto"/>
      </w:divBdr>
    </w:div>
    <w:div w:id="2115595312">
      <w:bodyDiv w:val="1"/>
      <w:marLeft w:val="0"/>
      <w:marRight w:val="0"/>
      <w:marTop w:val="0"/>
      <w:marBottom w:val="0"/>
      <w:divBdr>
        <w:top w:val="none" w:sz="0" w:space="0" w:color="auto"/>
        <w:left w:val="none" w:sz="0" w:space="0" w:color="auto"/>
        <w:bottom w:val="none" w:sz="0" w:space="0" w:color="auto"/>
        <w:right w:val="none" w:sz="0" w:space="0" w:color="auto"/>
      </w:divBdr>
      <w:divsChild>
        <w:div w:id="1296175659">
          <w:marLeft w:val="0"/>
          <w:marRight w:val="0"/>
          <w:marTop w:val="0"/>
          <w:marBottom w:val="0"/>
          <w:divBdr>
            <w:top w:val="none" w:sz="0" w:space="0" w:color="auto"/>
            <w:left w:val="none" w:sz="0" w:space="0" w:color="auto"/>
            <w:bottom w:val="none" w:sz="0" w:space="0" w:color="auto"/>
            <w:right w:val="none" w:sz="0" w:space="0" w:color="auto"/>
          </w:divBdr>
          <w:divsChild>
            <w:div w:id="1492602177">
              <w:marLeft w:val="0"/>
              <w:marRight w:val="0"/>
              <w:marTop w:val="0"/>
              <w:marBottom w:val="0"/>
              <w:divBdr>
                <w:top w:val="single" w:sz="6" w:space="0" w:color="3B88CD"/>
                <w:left w:val="none" w:sz="0" w:space="0" w:color="auto"/>
                <w:bottom w:val="single" w:sz="6" w:space="0" w:color="3B88CD"/>
                <w:right w:val="none" w:sz="0" w:space="0" w:color="auto"/>
              </w:divBdr>
              <w:divsChild>
                <w:div w:id="12953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16175">
      <w:bodyDiv w:val="1"/>
      <w:marLeft w:val="0"/>
      <w:marRight w:val="0"/>
      <w:marTop w:val="0"/>
      <w:marBottom w:val="0"/>
      <w:divBdr>
        <w:top w:val="none" w:sz="0" w:space="0" w:color="auto"/>
        <w:left w:val="none" w:sz="0" w:space="0" w:color="auto"/>
        <w:bottom w:val="none" w:sz="0" w:space="0" w:color="auto"/>
        <w:right w:val="none" w:sz="0" w:space="0" w:color="auto"/>
      </w:divBdr>
    </w:div>
    <w:div w:id="21401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efunds.com.cn" TargetMode="External"/><Relationship Id="rId3" Type="http://schemas.openxmlformats.org/officeDocument/2006/relationships/numbering" Target="numbering.xml"/><Relationship Id="rId21" Type="http://schemas.openxmlformats.org/officeDocument/2006/relationships/hyperlink" Target="mailto:service@efunds.com.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sbc.com" TargetMode="External"/><Relationship Id="rId2" Type="http://schemas.openxmlformats.org/officeDocument/2006/relationships/customXml" Target="../customXml/item1.xml"/><Relationship Id="rId16" Type="http://schemas.openxmlformats.org/officeDocument/2006/relationships/hyperlink" Target="http://finance.sina.com.cn/realstock/company/sh601328/nc.shtml" TargetMode="External"/><Relationship Id="rId20"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funds.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1EEF8A-8CF5-4B96-8D53-CA2C3A37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19916</Words>
  <Characters>113524</Characters>
  <Application>Microsoft Office Word</Application>
  <DocSecurity>0</DocSecurity>
  <Lines>946</Lines>
  <Paragraphs>266</Paragraphs>
  <ScaleCrop>false</ScaleCrop>
  <Company>efund</Company>
  <LinksUpToDate>false</LinksUpToDate>
  <CharactersWithSpaces>133174</CharactersWithSpaces>
  <SharedDoc>false</SharedDoc>
  <HLinks>
    <vt:vector size="678" baseType="variant">
      <vt:variant>
        <vt:i4>1704044</vt:i4>
      </vt:variant>
      <vt:variant>
        <vt:i4>663</vt:i4>
      </vt:variant>
      <vt:variant>
        <vt:i4>0</vt:i4>
      </vt:variant>
      <vt:variant>
        <vt:i4>5</vt:i4>
      </vt:variant>
      <vt:variant>
        <vt:lpwstr>mailto:service@efunds.com.cn</vt:lpwstr>
      </vt:variant>
      <vt:variant>
        <vt:lpwstr/>
      </vt:variant>
      <vt:variant>
        <vt:i4>6160454</vt:i4>
      </vt:variant>
      <vt:variant>
        <vt:i4>660</vt:i4>
      </vt:variant>
      <vt:variant>
        <vt:i4>0</vt:i4>
      </vt:variant>
      <vt:variant>
        <vt:i4>5</vt:i4>
      </vt:variant>
      <vt:variant>
        <vt:lpwstr>http://www.efunds.com.cn/</vt:lpwstr>
      </vt:variant>
      <vt:variant>
        <vt:lpwstr/>
      </vt:variant>
      <vt:variant>
        <vt:i4>6160454</vt:i4>
      </vt:variant>
      <vt:variant>
        <vt:i4>657</vt:i4>
      </vt:variant>
      <vt:variant>
        <vt:i4>0</vt:i4>
      </vt:variant>
      <vt:variant>
        <vt:i4>5</vt:i4>
      </vt:variant>
      <vt:variant>
        <vt:lpwstr>http://www.efunds.com.cn/</vt:lpwstr>
      </vt:variant>
      <vt:variant>
        <vt:lpwstr/>
      </vt:variant>
      <vt:variant>
        <vt:i4>5570582</vt:i4>
      </vt:variant>
      <vt:variant>
        <vt:i4>654</vt:i4>
      </vt:variant>
      <vt:variant>
        <vt:i4>0</vt:i4>
      </vt:variant>
      <vt:variant>
        <vt:i4>5</vt:i4>
      </vt:variant>
      <vt:variant>
        <vt:lpwstr>http://www.jjmmw.com/</vt:lpwstr>
      </vt:variant>
      <vt:variant>
        <vt:lpwstr/>
      </vt:variant>
      <vt:variant>
        <vt:i4>6160454</vt:i4>
      </vt:variant>
      <vt:variant>
        <vt:i4>651</vt:i4>
      </vt:variant>
      <vt:variant>
        <vt:i4>0</vt:i4>
      </vt:variant>
      <vt:variant>
        <vt:i4>5</vt:i4>
      </vt:variant>
      <vt:variant>
        <vt:lpwstr>http://www.efunds.com.cn/</vt:lpwstr>
      </vt:variant>
      <vt:variant>
        <vt:lpwstr/>
      </vt:variant>
      <vt:variant>
        <vt:i4>1835062</vt:i4>
      </vt:variant>
      <vt:variant>
        <vt:i4>644</vt:i4>
      </vt:variant>
      <vt:variant>
        <vt:i4>0</vt:i4>
      </vt:variant>
      <vt:variant>
        <vt:i4>5</vt:i4>
      </vt:variant>
      <vt:variant>
        <vt:lpwstr/>
      </vt:variant>
      <vt:variant>
        <vt:lpwstr>_Toc399142810</vt:lpwstr>
      </vt:variant>
      <vt:variant>
        <vt:i4>1900598</vt:i4>
      </vt:variant>
      <vt:variant>
        <vt:i4>638</vt:i4>
      </vt:variant>
      <vt:variant>
        <vt:i4>0</vt:i4>
      </vt:variant>
      <vt:variant>
        <vt:i4>5</vt:i4>
      </vt:variant>
      <vt:variant>
        <vt:lpwstr/>
      </vt:variant>
      <vt:variant>
        <vt:lpwstr>_Toc399142809</vt:lpwstr>
      </vt:variant>
      <vt:variant>
        <vt:i4>1900598</vt:i4>
      </vt:variant>
      <vt:variant>
        <vt:i4>632</vt:i4>
      </vt:variant>
      <vt:variant>
        <vt:i4>0</vt:i4>
      </vt:variant>
      <vt:variant>
        <vt:i4>5</vt:i4>
      </vt:variant>
      <vt:variant>
        <vt:lpwstr/>
      </vt:variant>
      <vt:variant>
        <vt:lpwstr>_Toc399142808</vt:lpwstr>
      </vt:variant>
      <vt:variant>
        <vt:i4>1900598</vt:i4>
      </vt:variant>
      <vt:variant>
        <vt:i4>626</vt:i4>
      </vt:variant>
      <vt:variant>
        <vt:i4>0</vt:i4>
      </vt:variant>
      <vt:variant>
        <vt:i4>5</vt:i4>
      </vt:variant>
      <vt:variant>
        <vt:lpwstr/>
      </vt:variant>
      <vt:variant>
        <vt:lpwstr>_Toc399142807</vt:lpwstr>
      </vt:variant>
      <vt:variant>
        <vt:i4>1900598</vt:i4>
      </vt:variant>
      <vt:variant>
        <vt:i4>620</vt:i4>
      </vt:variant>
      <vt:variant>
        <vt:i4>0</vt:i4>
      </vt:variant>
      <vt:variant>
        <vt:i4>5</vt:i4>
      </vt:variant>
      <vt:variant>
        <vt:lpwstr/>
      </vt:variant>
      <vt:variant>
        <vt:lpwstr>_Toc399142806</vt:lpwstr>
      </vt:variant>
      <vt:variant>
        <vt:i4>1900598</vt:i4>
      </vt:variant>
      <vt:variant>
        <vt:i4>614</vt:i4>
      </vt:variant>
      <vt:variant>
        <vt:i4>0</vt:i4>
      </vt:variant>
      <vt:variant>
        <vt:i4>5</vt:i4>
      </vt:variant>
      <vt:variant>
        <vt:lpwstr/>
      </vt:variant>
      <vt:variant>
        <vt:lpwstr>_Toc399142805</vt:lpwstr>
      </vt:variant>
      <vt:variant>
        <vt:i4>1900598</vt:i4>
      </vt:variant>
      <vt:variant>
        <vt:i4>608</vt:i4>
      </vt:variant>
      <vt:variant>
        <vt:i4>0</vt:i4>
      </vt:variant>
      <vt:variant>
        <vt:i4>5</vt:i4>
      </vt:variant>
      <vt:variant>
        <vt:lpwstr/>
      </vt:variant>
      <vt:variant>
        <vt:lpwstr>_Toc399142804</vt:lpwstr>
      </vt:variant>
      <vt:variant>
        <vt:i4>1900598</vt:i4>
      </vt:variant>
      <vt:variant>
        <vt:i4>602</vt:i4>
      </vt:variant>
      <vt:variant>
        <vt:i4>0</vt:i4>
      </vt:variant>
      <vt:variant>
        <vt:i4>5</vt:i4>
      </vt:variant>
      <vt:variant>
        <vt:lpwstr/>
      </vt:variant>
      <vt:variant>
        <vt:lpwstr>_Toc399142803</vt:lpwstr>
      </vt:variant>
      <vt:variant>
        <vt:i4>1900598</vt:i4>
      </vt:variant>
      <vt:variant>
        <vt:i4>596</vt:i4>
      </vt:variant>
      <vt:variant>
        <vt:i4>0</vt:i4>
      </vt:variant>
      <vt:variant>
        <vt:i4>5</vt:i4>
      </vt:variant>
      <vt:variant>
        <vt:lpwstr/>
      </vt:variant>
      <vt:variant>
        <vt:lpwstr>_Toc399142802</vt:lpwstr>
      </vt:variant>
      <vt:variant>
        <vt:i4>1900598</vt:i4>
      </vt:variant>
      <vt:variant>
        <vt:i4>590</vt:i4>
      </vt:variant>
      <vt:variant>
        <vt:i4>0</vt:i4>
      </vt:variant>
      <vt:variant>
        <vt:i4>5</vt:i4>
      </vt:variant>
      <vt:variant>
        <vt:lpwstr/>
      </vt:variant>
      <vt:variant>
        <vt:lpwstr>_Toc399142801</vt:lpwstr>
      </vt:variant>
      <vt:variant>
        <vt:i4>1900598</vt:i4>
      </vt:variant>
      <vt:variant>
        <vt:i4>584</vt:i4>
      </vt:variant>
      <vt:variant>
        <vt:i4>0</vt:i4>
      </vt:variant>
      <vt:variant>
        <vt:i4>5</vt:i4>
      </vt:variant>
      <vt:variant>
        <vt:lpwstr/>
      </vt:variant>
      <vt:variant>
        <vt:lpwstr>_Toc399142800</vt:lpwstr>
      </vt:variant>
      <vt:variant>
        <vt:i4>1310777</vt:i4>
      </vt:variant>
      <vt:variant>
        <vt:i4>578</vt:i4>
      </vt:variant>
      <vt:variant>
        <vt:i4>0</vt:i4>
      </vt:variant>
      <vt:variant>
        <vt:i4>5</vt:i4>
      </vt:variant>
      <vt:variant>
        <vt:lpwstr/>
      </vt:variant>
      <vt:variant>
        <vt:lpwstr>_Toc399142799</vt:lpwstr>
      </vt:variant>
      <vt:variant>
        <vt:i4>1310777</vt:i4>
      </vt:variant>
      <vt:variant>
        <vt:i4>572</vt:i4>
      </vt:variant>
      <vt:variant>
        <vt:i4>0</vt:i4>
      </vt:variant>
      <vt:variant>
        <vt:i4>5</vt:i4>
      </vt:variant>
      <vt:variant>
        <vt:lpwstr/>
      </vt:variant>
      <vt:variant>
        <vt:lpwstr>_Toc399142798</vt:lpwstr>
      </vt:variant>
      <vt:variant>
        <vt:i4>1310777</vt:i4>
      </vt:variant>
      <vt:variant>
        <vt:i4>566</vt:i4>
      </vt:variant>
      <vt:variant>
        <vt:i4>0</vt:i4>
      </vt:variant>
      <vt:variant>
        <vt:i4>5</vt:i4>
      </vt:variant>
      <vt:variant>
        <vt:lpwstr/>
      </vt:variant>
      <vt:variant>
        <vt:lpwstr>_Toc399142797</vt:lpwstr>
      </vt:variant>
      <vt:variant>
        <vt:i4>1310777</vt:i4>
      </vt:variant>
      <vt:variant>
        <vt:i4>560</vt:i4>
      </vt:variant>
      <vt:variant>
        <vt:i4>0</vt:i4>
      </vt:variant>
      <vt:variant>
        <vt:i4>5</vt:i4>
      </vt:variant>
      <vt:variant>
        <vt:lpwstr/>
      </vt:variant>
      <vt:variant>
        <vt:lpwstr>_Toc399142796</vt:lpwstr>
      </vt:variant>
      <vt:variant>
        <vt:i4>1310777</vt:i4>
      </vt:variant>
      <vt:variant>
        <vt:i4>554</vt:i4>
      </vt:variant>
      <vt:variant>
        <vt:i4>0</vt:i4>
      </vt:variant>
      <vt:variant>
        <vt:i4>5</vt:i4>
      </vt:variant>
      <vt:variant>
        <vt:lpwstr/>
      </vt:variant>
      <vt:variant>
        <vt:lpwstr>_Toc399142795</vt:lpwstr>
      </vt:variant>
      <vt:variant>
        <vt:i4>1310777</vt:i4>
      </vt:variant>
      <vt:variant>
        <vt:i4>548</vt:i4>
      </vt:variant>
      <vt:variant>
        <vt:i4>0</vt:i4>
      </vt:variant>
      <vt:variant>
        <vt:i4>5</vt:i4>
      </vt:variant>
      <vt:variant>
        <vt:lpwstr/>
      </vt:variant>
      <vt:variant>
        <vt:lpwstr>_Toc399142794</vt:lpwstr>
      </vt:variant>
      <vt:variant>
        <vt:i4>1310777</vt:i4>
      </vt:variant>
      <vt:variant>
        <vt:i4>542</vt:i4>
      </vt:variant>
      <vt:variant>
        <vt:i4>0</vt:i4>
      </vt:variant>
      <vt:variant>
        <vt:i4>5</vt:i4>
      </vt:variant>
      <vt:variant>
        <vt:lpwstr/>
      </vt:variant>
      <vt:variant>
        <vt:lpwstr>_Toc399142793</vt:lpwstr>
      </vt:variant>
      <vt:variant>
        <vt:i4>1310777</vt:i4>
      </vt:variant>
      <vt:variant>
        <vt:i4>536</vt:i4>
      </vt:variant>
      <vt:variant>
        <vt:i4>0</vt:i4>
      </vt:variant>
      <vt:variant>
        <vt:i4>5</vt:i4>
      </vt:variant>
      <vt:variant>
        <vt:lpwstr/>
      </vt:variant>
      <vt:variant>
        <vt:lpwstr>_Toc399142792</vt:lpwstr>
      </vt:variant>
      <vt:variant>
        <vt:i4>1310777</vt:i4>
      </vt:variant>
      <vt:variant>
        <vt:i4>530</vt:i4>
      </vt:variant>
      <vt:variant>
        <vt:i4>0</vt:i4>
      </vt:variant>
      <vt:variant>
        <vt:i4>5</vt:i4>
      </vt:variant>
      <vt:variant>
        <vt:lpwstr/>
      </vt:variant>
      <vt:variant>
        <vt:lpwstr>_Toc399142791</vt:lpwstr>
      </vt:variant>
      <vt:variant>
        <vt:i4>1310777</vt:i4>
      </vt:variant>
      <vt:variant>
        <vt:i4>524</vt:i4>
      </vt:variant>
      <vt:variant>
        <vt:i4>0</vt:i4>
      </vt:variant>
      <vt:variant>
        <vt:i4>5</vt:i4>
      </vt:variant>
      <vt:variant>
        <vt:lpwstr/>
      </vt:variant>
      <vt:variant>
        <vt:lpwstr>_Toc399142790</vt:lpwstr>
      </vt:variant>
      <vt:variant>
        <vt:i4>1376313</vt:i4>
      </vt:variant>
      <vt:variant>
        <vt:i4>518</vt:i4>
      </vt:variant>
      <vt:variant>
        <vt:i4>0</vt:i4>
      </vt:variant>
      <vt:variant>
        <vt:i4>5</vt:i4>
      </vt:variant>
      <vt:variant>
        <vt:lpwstr/>
      </vt:variant>
      <vt:variant>
        <vt:lpwstr>_Toc399142789</vt:lpwstr>
      </vt:variant>
      <vt:variant>
        <vt:i4>1376313</vt:i4>
      </vt:variant>
      <vt:variant>
        <vt:i4>512</vt:i4>
      </vt:variant>
      <vt:variant>
        <vt:i4>0</vt:i4>
      </vt:variant>
      <vt:variant>
        <vt:i4>5</vt:i4>
      </vt:variant>
      <vt:variant>
        <vt:lpwstr/>
      </vt:variant>
      <vt:variant>
        <vt:lpwstr>_Toc399142788</vt:lpwstr>
      </vt:variant>
      <vt:variant>
        <vt:i4>1376313</vt:i4>
      </vt:variant>
      <vt:variant>
        <vt:i4>506</vt:i4>
      </vt:variant>
      <vt:variant>
        <vt:i4>0</vt:i4>
      </vt:variant>
      <vt:variant>
        <vt:i4>5</vt:i4>
      </vt:variant>
      <vt:variant>
        <vt:lpwstr/>
      </vt:variant>
      <vt:variant>
        <vt:lpwstr>_Toc399142787</vt:lpwstr>
      </vt:variant>
      <vt:variant>
        <vt:i4>1376313</vt:i4>
      </vt:variant>
      <vt:variant>
        <vt:i4>500</vt:i4>
      </vt:variant>
      <vt:variant>
        <vt:i4>0</vt:i4>
      </vt:variant>
      <vt:variant>
        <vt:i4>5</vt:i4>
      </vt:variant>
      <vt:variant>
        <vt:lpwstr/>
      </vt:variant>
      <vt:variant>
        <vt:lpwstr>_Toc399142786</vt:lpwstr>
      </vt:variant>
      <vt:variant>
        <vt:i4>1376313</vt:i4>
      </vt:variant>
      <vt:variant>
        <vt:i4>494</vt:i4>
      </vt:variant>
      <vt:variant>
        <vt:i4>0</vt:i4>
      </vt:variant>
      <vt:variant>
        <vt:i4>5</vt:i4>
      </vt:variant>
      <vt:variant>
        <vt:lpwstr/>
      </vt:variant>
      <vt:variant>
        <vt:lpwstr>_Toc399142785</vt:lpwstr>
      </vt:variant>
      <vt:variant>
        <vt:i4>1376313</vt:i4>
      </vt:variant>
      <vt:variant>
        <vt:i4>488</vt:i4>
      </vt:variant>
      <vt:variant>
        <vt:i4>0</vt:i4>
      </vt:variant>
      <vt:variant>
        <vt:i4>5</vt:i4>
      </vt:variant>
      <vt:variant>
        <vt:lpwstr/>
      </vt:variant>
      <vt:variant>
        <vt:lpwstr>_Toc399142784</vt:lpwstr>
      </vt:variant>
      <vt:variant>
        <vt:i4>1376313</vt:i4>
      </vt:variant>
      <vt:variant>
        <vt:i4>482</vt:i4>
      </vt:variant>
      <vt:variant>
        <vt:i4>0</vt:i4>
      </vt:variant>
      <vt:variant>
        <vt:i4>5</vt:i4>
      </vt:variant>
      <vt:variant>
        <vt:lpwstr/>
      </vt:variant>
      <vt:variant>
        <vt:lpwstr>_Toc399142783</vt:lpwstr>
      </vt:variant>
      <vt:variant>
        <vt:i4>1376313</vt:i4>
      </vt:variant>
      <vt:variant>
        <vt:i4>476</vt:i4>
      </vt:variant>
      <vt:variant>
        <vt:i4>0</vt:i4>
      </vt:variant>
      <vt:variant>
        <vt:i4>5</vt:i4>
      </vt:variant>
      <vt:variant>
        <vt:lpwstr/>
      </vt:variant>
      <vt:variant>
        <vt:lpwstr>_Toc399142782</vt:lpwstr>
      </vt:variant>
      <vt:variant>
        <vt:i4>1376313</vt:i4>
      </vt:variant>
      <vt:variant>
        <vt:i4>470</vt:i4>
      </vt:variant>
      <vt:variant>
        <vt:i4>0</vt:i4>
      </vt:variant>
      <vt:variant>
        <vt:i4>5</vt:i4>
      </vt:variant>
      <vt:variant>
        <vt:lpwstr/>
      </vt:variant>
      <vt:variant>
        <vt:lpwstr>_Toc399142781</vt:lpwstr>
      </vt:variant>
      <vt:variant>
        <vt:i4>1376313</vt:i4>
      </vt:variant>
      <vt:variant>
        <vt:i4>464</vt:i4>
      </vt:variant>
      <vt:variant>
        <vt:i4>0</vt:i4>
      </vt:variant>
      <vt:variant>
        <vt:i4>5</vt:i4>
      </vt:variant>
      <vt:variant>
        <vt:lpwstr/>
      </vt:variant>
      <vt:variant>
        <vt:lpwstr>_Toc399142780</vt:lpwstr>
      </vt:variant>
      <vt:variant>
        <vt:i4>1703993</vt:i4>
      </vt:variant>
      <vt:variant>
        <vt:i4>458</vt:i4>
      </vt:variant>
      <vt:variant>
        <vt:i4>0</vt:i4>
      </vt:variant>
      <vt:variant>
        <vt:i4>5</vt:i4>
      </vt:variant>
      <vt:variant>
        <vt:lpwstr/>
      </vt:variant>
      <vt:variant>
        <vt:lpwstr>_Toc399142779</vt:lpwstr>
      </vt:variant>
      <vt:variant>
        <vt:i4>1703993</vt:i4>
      </vt:variant>
      <vt:variant>
        <vt:i4>452</vt:i4>
      </vt:variant>
      <vt:variant>
        <vt:i4>0</vt:i4>
      </vt:variant>
      <vt:variant>
        <vt:i4>5</vt:i4>
      </vt:variant>
      <vt:variant>
        <vt:lpwstr/>
      </vt:variant>
      <vt:variant>
        <vt:lpwstr>_Toc399142778</vt:lpwstr>
      </vt:variant>
      <vt:variant>
        <vt:i4>1703993</vt:i4>
      </vt:variant>
      <vt:variant>
        <vt:i4>446</vt:i4>
      </vt:variant>
      <vt:variant>
        <vt:i4>0</vt:i4>
      </vt:variant>
      <vt:variant>
        <vt:i4>5</vt:i4>
      </vt:variant>
      <vt:variant>
        <vt:lpwstr/>
      </vt:variant>
      <vt:variant>
        <vt:lpwstr>_Toc399142777</vt:lpwstr>
      </vt:variant>
      <vt:variant>
        <vt:i4>1703993</vt:i4>
      </vt:variant>
      <vt:variant>
        <vt:i4>440</vt:i4>
      </vt:variant>
      <vt:variant>
        <vt:i4>0</vt:i4>
      </vt:variant>
      <vt:variant>
        <vt:i4>5</vt:i4>
      </vt:variant>
      <vt:variant>
        <vt:lpwstr/>
      </vt:variant>
      <vt:variant>
        <vt:lpwstr>_Toc399142776</vt:lpwstr>
      </vt:variant>
      <vt:variant>
        <vt:i4>1703993</vt:i4>
      </vt:variant>
      <vt:variant>
        <vt:i4>434</vt:i4>
      </vt:variant>
      <vt:variant>
        <vt:i4>0</vt:i4>
      </vt:variant>
      <vt:variant>
        <vt:i4>5</vt:i4>
      </vt:variant>
      <vt:variant>
        <vt:lpwstr/>
      </vt:variant>
      <vt:variant>
        <vt:lpwstr>_Toc399142775</vt:lpwstr>
      </vt:variant>
      <vt:variant>
        <vt:i4>1703993</vt:i4>
      </vt:variant>
      <vt:variant>
        <vt:i4>428</vt:i4>
      </vt:variant>
      <vt:variant>
        <vt:i4>0</vt:i4>
      </vt:variant>
      <vt:variant>
        <vt:i4>5</vt:i4>
      </vt:variant>
      <vt:variant>
        <vt:lpwstr/>
      </vt:variant>
      <vt:variant>
        <vt:lpwstr>_Toc399142774</vt:lpwstr>
      </vt:variant>
      <vt:variant>
        <vt:i4>1703993</vt:i4>
      </vt:variant>
      <vt:variant>
        <vt:i4>422</vt:i4>
      </vt:variant>
      <vt:variant>
        <vt:i4>0</vt:i4>
      </vt:variant>
      <vt:variant>
        <vt:i4>5</vt:i4>
      </vt:variant>
      <vt:variant>
        <vt:lpwstr/>
      </vt:variant>
      <vt:variant>
        <vt:lpwstr>_Toc399142773</vt:lpwstr>
      </vt:variant>
      <vt:variant>
        <vt:i4>1703993</vt:i4>
      </vt:variant>
      <vt:variant>
        <vt:i4>416</vt:i4>
      </vt:variant>
      <vt:variant>
        <vt:i4>0</vt:i4>
      </vt:variant>
      <vt:variant>
        <vt:i4>5</vt:i4>
      </vt:variant>
      <vt:variant>
        <vt:lpwstr/>
      </vt:variant>
      <vt:variant>
        <vt:lpwstr>_Toc399142772</vt:lpwstr>
      </vt:variant>
      <vt:variant>
        <vt:i4>1703993</vt:i4>
      </vt:variant>
      <vt:variant>
        <vt:i4>410</vt:i4>
      </vt:variant>
      <vt:variant>
        <vt:i4>0</vt:i4>
      </vt:variant>
      <vt:variant>
        <vt:i4>5</vt:i4>
      </vt:variant>
      <vt:variant>
        <vt:lpwstr/>
      </vt:variant>
      <vt:variant>
        <vt:lpwstr>_Toc399142771</vt:lpwstr>
      </vt:variant>
      <vt:variant>
        <vt:i4>1703993</vt:i4>
      </vt:variant>
      <vt:variant>
        <vt:i4>404</vt:i4>
      </vt:variant>
      <vt:variant>
        <vt:i4>0</vt:i4>
      </vt:variant>
      <vt:variant>
        <vt:i4>5</vt:i4>
      </vt:variant>
      <vt:variant>
        <vt:lpwstr/>
      </vt:variant>
      <vt:variant>
        <vt:lpwstr>_Toc399142770</vt:lpwstr>
      </vt:variant>
      <vt:variant>
        <vt:i4>1769529</vt:i4>
      </vt:variant>
      <vt:variant>
        <vt:i4>398</vt:i4>
      </vt:variant>
      <vt:variant>
        <vt:i4>0</vt:i4>
      </vt:variant>
      <vt:variant>
        <vt:i4>5</vt:i4>
      </vt:variant>
      <vt:variant>
        <vt:lpwstr/>
      </vt:variant>
      <vt:variant>
        <vt:lpwstr>_Toc399142769</vt:lpwstr>
      </vt:variant>
      <vt:variant>
        <vt:i4>1769529</vt:i4>
      </vt:variant>
      <vt:variant>
        <vt:i4>392</vt:i4>
      </vt:variant>
      <vt:variant>
        <vt:i4>0</vt:i4>
      </vt:variant>
      <vt:variant>
        <vt:i4>5</vt:i4>
      </vt:variant>
      <vt:variant>
        <vt:lpwstr/>
      </vt:variant>
      <vt:variant>
        <vt:lpwstr>_Toc399142768</vt:lpwstr>
      </vt:variant>
      <vt:variant>
        <vt:i4>1769529</vt:i4>
      </vt:variant>
      <vt:variant>
        <vt:i4>386</vt:i4>
      </vt:variant>
      <vt:variant>
        <vt:i4>0</vt:i4>
      </vt:variant>
      <vt:variant>
        <vt:i4>5</vt:i4>
      </vt:variant>
      <vt:variant>
        <vt:lpwstr/>
      </vt:variant>
      <vt:variant>
        <vt:lpwstr>_Toc399142767</vt:lpwstr>
      </vt:variant>
      <vt:variant>
        <vt:i4>1769529</vt:i4>
      </vt:variant>
      <vt:variant>
        <vt:i4>380</vt:i4>
      </vt:variant>
      <vt:variant>
        <vt:i4>0</vt:i4>
      </vt:variant>
      <vt:variant>
        <vt:i4>5</vt:i4>
      </vt:variant>
      <vt:variant>
        <vt:lpwstr/>
      </vt:variant>
      <vt:variant>
        <vt:lpwstr>_Toc399142766</vt:lpwstr>
      </vt:variant>
      <vt:variant>
        <vt:i4>1769529</vt:i4>
      </vt:variant>
      <vt:variant>
        <vt:i4>374</vt:i4>
      </vt:variant>
      <vt:variant>
        <vt:i4>0</vt:i4>
      </vt:variant>
      <vt:variant>
        <vt:i4>5</vt:i4>
      </vt:variant>
      <vt:variant>
        <vt:lpwstr/>
      </vt:variant>
      <vt:variant>
        <vt:lpwstr>_Toc399142765</vt:lpwstr>
      </vt:variant>
      <vt:variant>
        <vt:i4>1769529</vt:i4>
      </vt:variant>
      <vt:variant>
        <vt:i4>368</vt:i4>
      </vt:variant>
      <vt:variant>
        <vt:i4>0</vt:i4>
      </vt:variant>
      <vt:variant>
        <vt:i4>5</vt:i4>
      </vt:variant>
      <vt:variant>
        <vt:lpwstr/>
      </vt:variant>
      <vt:variant>
        <vt:lpwstr>_Toc399142764</vt:lpwstr>
      </vt:variant>
      <vt:variant>
        <vt:i4>1769529</vt:i4>
      </vt:variant>
      <vt:variant>
        <vt:i4>362</vt:i4>
      </vt:variant>
      <vt:variant>
        <vt:i4>0</vt:i4>
      </vt:variant>
      <vt:variant>
        <vt:i4>5</vt:i4>
      </vt:variant>
      <vt:variant>
        <vt:lpwstr/>
      </vt:variant>
      <vt:variant>
        <vt:lpwstr>_Toc399142763</vt:lpwstr>
      </vt:variant>
      <vt:variant>
        <vt:i4>1769529</vt:i4>
      </vt:variant>
      <vt:variant>
        <vt:i4>356</vt:i4>
      </vt:variant>
      <vt:variant>
        <vt:i4>0</vt:i4>
      </vt:variant>
      <vt:variant>
        <vt:i4>5</vt:i4>
      </vt:variant>
      <vt:variant>
        <vt:lpwstr/>
      </vt:variant>
      <vt:variant>
        <vt:lpwstr>_Toc399142762</vt:lpwstr>
      </vt:variant>
      <vt:variant>
        <vt:i4>1769529</vt:i4>
      </vt:variant>
      <vt:variant>
        <vt:i4>350</vt:i4>
      </vt:variant>
      <vt:variant>
        <vt:i4>0</vt:i4>
      </vt:variant>
      <vt:variant>
        <vt:i4>5</vt:i4>
      </vt:variant>
      <vt:variant>
        <vt:lpwstr/>
      </vt:variant>
      <vt:variant>
        <vt:lpwstr>_Toc399142761</vt:lpwstr>
      </vt:variant>
      <vt:variant>
        <vt:i4>1769529</vt:i4>
      </vt:variant>
      <vt:variant>
        <vt:i4>344</vt:i4>
      </vt:variant>
      <vt:variant>
        <vt:i4>0</vt:i4>
      </vt:variant>
      <vt:variant>
        <vt:i4>5</vt:i4>
      </vt:variant>
      <vt:variant>
        <vt:lpwstr/>
      </vt:variant>
      <vt:variant>
        <vt:lpwstr>_Toc399142760</vt:lpwstr>
      </vt:variant>
      <vt:variant>
        <vt:i4>1572921</vt:i4>
      </vt:variant>
      <vt:variant>
        <vt:i4>338</vt:i4>
      </vt:variant>
      <vt:variant>
        <vt:i4>0</vt:i4>
      </vt:variant>
      <vt:variant>
        <vt:i4>5</vt:i4>
      </vt:variant>
      <vt:variant>
        <vt:lpwstr/>
      </vt:variant>
      <vt:variant>
        <vt:lpwstr>_Toc399142759</vt:lpwstr>
      </vt:variant>
      <vt:variant>
        <vt:i4>1572921</vt:i4>
      </vt:variant>
      <vt:variant>
        <vt:i4>332</vt:i4>
      </vt:variant>
      <vt:variant>
        <vt:i4>0</vt:i4>
      </vt:variant>
      <vt:variant>
        <vt:i4>5</vt:i4>
      </vt:variant>
      <vt:variant>
        <vt:lpwstr/>
      </vt:variant>
      <vt:variant>
        <vt:lpwstr>_Toc399142758</vt:lpwstr>
      </vt:variant>
      <vt:variant>
        <vt:i4>1572921</vt:i4>
      </vt:variant>
      <vt:variant>
        <vt:i4>326</vt:i4>
      </vt:variant>
      <vt:variant>
        <vt:i4>0</vt:i4>
      </vt:variant>
      <vt:variant>
        <vt:i4>5</vt:i4>
      </vt:variant>
      <vt:variant>
        <vt:lpwstr/>
      </vt:variant>
      <vt:variant>
        <vt:lpwstr>_Toc399142757</vt:lpwstr>
      </vt:variant>
      <vt:variant>
        <vt:i4>1572921</vt:i4>
      </vt:variant>
      <vt:variant>
        <vt:i4>320</vt:i4>
      </vt:variant>
      <vt:variant>
        <vt:i4>0</vt:i4>
      </vt:variant>
      <vt:variant>
        <vt:i4>5</vt:i4>
      </vt:variant>
      <vt:variant>
        <vt:lpwstr/>
      </vt:variant>
      <vt:variant>
        <vt:lpwstr>_Toc399142756</vt:lpwstr>
      </vt:variant>
      <vt:variant>
        <vt:i4>1572921</vt:i4>
      </vt:variant>
      <vt:variant>
        <vt:i4>314</vt:i4>
      </vt:variant>
      <vt:variant>
        <vt:i4>0</vt:i4>
      </vt:variant>
      <vt:variant>
        <vt:i4>5</vt:i4>
      </vt:variant>
      <vt:variant>
        <vt:lpwstr/>
      </vt:variant>
      <vt:variant>
        <vt:lpwstr>_Toc399142755</vt:lpwstr>
      </vt:variant>
      <vt:variant>
        <vt:i4>1572921</vt:i4>
      </vt:variant>
      <vt:variant>
        <vt:i4>308</vt:i4>
      </vt:variant>
      <vt:variant>
        <vt:i4>0</vt:i4>
      </vt:variant>
      <vt:variant>
        <vt:i4>5</vt:i4>
      </vt:variant>
      <vt:variant>
        <vt:lpwstr/>
      </vt:variant>
      <vt:variant>
        <vt:lpwstr>_Toc399142754</vt:lpwstr>
      </vt:variant>
      <vt:variant>
        <vt:i4>1572921</vt:i4>
      </vt:variant>
      <vt:variant>
        <vt:i4>302</vt:i4>
      </vt:variant>
      <vt:variant>
        <vt:i4>0</vt:i4>
      </vt:variant>
      <vt:variant>
        <vt:i4>5</vt:i4>
      </vt:variant>
      <vt:variant>
        <vt:lpwstr/>
      </vt:variant>
      <vt:variant>
        <vt:lpwstr>_Toc399142753</vt:lpwstr>
      </vt:variant>
      <vt:variant>
        <vt:i4>1572921</vt:i4>
      </vt:variant>
      <vt:variant>
        <vt:i4>296</vt:i4>
      </vt:variant>
      <vt:variant>
        <vt:i4>0</vt:i4>
      </vt:variant>
      <vt:variant>
        <vt:i4>5</vt:i4>
      </vt:variant>
      <vt:variant>
        <vt:lpwstr/>
      </vt:variant>
      <vt:variant>
        <vt:lpwstr>_Toc399142752</vt:lpwstr>
      </vt:variant>
      <vt:variant>
        <vt:i4>1572921</vt:i4>
      </vt:variant>
      <vt:variant>
        <vt:i4>290</vt:i4>
      </vt:variant>
      <vt:variant>
        <vt:i4>0</vt:i4>
      </vt:variant>
      <vt:variant>
        <vt:i4>5</vt:i4>
      </vt:variant>
      <vt:variant>
        <vt:lpwstr/>
      </vt:variant>
      <vt:variant>
        <vt:lpwstr>_Toc399142751</vt:lpwstr>
      </vt:variant>
      <vt:variant>
        <vt:i4>1572921</vt:i4>
      </vt:variant>
      <vt:variant>
        <vt:i4>284</vt:i4>
      </vt:variant>
      <vt:variant>
        <vt:i4>0</vt:i4>
      </vt:variant>
      <vt:variant>
        <vt:i4>5</vt:i4>
      </vt:variant>
      <vt:variant>
        <vt:lpwstr/>
      </vt:variant>
      <vt:variant>
        <vt:lpwstr>_Toc399142750</vt:lpwstr>
      </vt:variant>
      <vt:variant>
        <vt:i4>1638457</vt:i4>
      </vt:variant>
      <vt:variant>
        <vt:i4>278</vt:i4>
      </vt:variant>
      <vt:variant>
        <vt:i4>0</vt:i4>
      </vt:variant>
      <vt:variant>
        <vt:i4>5</vt:i4>
      </vt:variant>
      <vt:variant>
        <vt:lpwstr/>
      </vt:variant>
      <vt:variant>
        <vt:lpwstr>_Toc399142749</vt:lpwstr>
      </vt:variant>
      <vt:variant>
        <vt:i4>1638457</vt:i4>
      </vt:variant>
      <vt:variant>
        <vt:i4>272</vt:i4>
      </vt:variant>
      <vt:variant>
        <vt:i4>0</vt:i4>
      </vt:variant>
      <vt:variant>
        <vt:i4>5</vt:i4>
      </vt:variant>
      <vt:variant>
        <vt:lpwstr/>
      </vt:variant>
      <vt:variant>
        <vt:lpwstr>_Toc399142748</vt:lpwstr>
      </vt:variant>
      <vt:variant>
        <vt:i4>1638457</vt:i4>
      </vt:variant>
      <vt:variant>
        <vt:i4>266</vt:i4>
      </vt:variant>
      <vt:variant>
        <vt:i4>0</vt:i4>
      </vt:variant>
      <vt:variant>
        <vt:i4>5</vt:i4>
      </vt:variant>
      <vt:variant>
        <vt:lpwstr/>
      </vt:variant>
      <vt:variant>
        <vt:lpwstr>_Toc399142747</vt:lpwstr>
      </vt:variant>
      <vt:variant>
        <vt:i4>1638457</vt:i4>
      </vt:variant>
      <vt:variant>
        <vt:i4>260</vt:i4>
      </vt:variant>
      <vt:variant>
        <vt:i4>0</vt:i4>
      </vt:variant>
      <vt:variant>
        <vt:i4>5</vt:i4>
      </vt:variant>
      <vt:variant>
        <vt:lpwstr/>
      </vt:variant>
      <vt:variant>
        <vt:lpwstr>_Toc399142746</vt:lpwstr>
      </vt:variant>
      <vt:variant>
        <vt:i4>1638457</vt:i4>
      </vt:variant>
      <vt:variant>
        <vt:i4>254</vt:i4>
      </vt:variant>
      <vt:variant>
        <vt:i4>0</vt:i4>
      </vt:variant>
      <vt:variant>
        <vt:i4>5</vt:i4>
      </vt:variant>
      <vt:variant>
        <vt:lpwstr/>
      </vt:variant>
      <vt:variant>
        <vt:lpwstr>_Toc399142745</vt:lpwstr>
      </vt:variant>
      <vt:variant>
        <vt:i4>1638457</vt:i4>
      </vt:variant>
      <vt:variant>
        <vt:i4>248</vt:i4>
      </vt:variant>
      <vt:variant>
        <vt:i4>0</vt:i4>
      </vt:variant>
      <vt:variant>
        <vt:i4>5</vt:i4>
      </vt:variant>
      <vt:variant>
        <vt:lpwstr/>
      </vt:variant>
      <vt:variant>
        <vt:lpwstr>_Toc399142744</vt:lpwstr>
      </vt:variant>
      <vt:variant>
        <vt:i4>1638457</vt:i4>
      </vt:variant>
      <vt:variant>
        <vt:i4>242</vt:i4>
      </vt:variant>
      <vt:variant>
        <vt:i4>0</vt:i4>
      </vt:variant>
      <vt:variant>
        <vt:i4>5</vt:i4>
      </vt:variant>
      <vt:variant>
        <vt:lpwstr/>
      </vt:variant>
      <vt:variant>
        <vt:lpwstr>_Toc399142743</vt:lpwstr>
      </vt:variant>
      <vt:variant>
        <vt:i4>1638457</vt:i4>
      </vt:variant>
      <vt:variant>
        <vt:i4>236</vt:i4>
      </vt:variant>
      <vt:variant>
        <vt:i4>0</vt:i4>
      </vt:variant>
      <vt:variant>
        <vt:i4>5</vt:i4>
      </vt:variant>
      <vt:variant>
        <vt:lpwstr/>
      </vt:variant>
      <vt:variant>
        <vt:lpwstr>_Toc399142742</vt:lpwstr>
      </vt:variant>
      <vt:variant>
        <vt:i4>1638457</vt:i4>
      </vt:variant>
      <vt:variant>
        <vt:i4>230</vt:i4>
      </vt:variant>
      <vt:variant>
        <vt:i4>0</vt:i4>
      </vt:variant>
      <vt:variant>
        <vt:i4>5</vt:i4>
      </vt:variant>
      <vt:variant>
        <vt:lpwstr/>
      </vt:variant>
      <vt:variant>
        <vt:lpwstr>_Toc399142741</vt:lpwstr>
      </vt:variant>
      <vt:variant>
        <vt:i4>1638457</vt:i4>
      </vt:variant>
      <vt:variant>
        <vt:i4>224</vt:i4>
      </vt:variant>
      <vt:variant>
        <vt:i4>0</vt:i4>
      </vt:variant>
      <vt:variant>
        <vt:i4>5</vt:i4>
      </vt:variant>
      <vt:variant>
        <vt:lpwstr/>
      </vt:variant>
      <vt:variant>
        <vt:lpwstr>_Toc399142740</vt:lpwstr>
      </vt:variant>
      <vt:variant>
        <vt:i4>1966137</vt:i4>
      </vt:variant>
      <vt:variant>
        <vt:i4>218</vt:i4>
      </vt:variant>
      <vt:variant>
        <vt:i4>0</vt:i4>
      </vt:variant>
      <vt:variant>
        <vt:i4>5</vt:i4>
      </vt:variant>
      <vt:variant>
        <vt:lpwstr/>
      </vt:variant>
      <vt:variant>
        <vt:lpwstr>_Toc399142739</vt:lpwstr>
      </vt:variant>
      <vt:variant>
        <vt:i4>1966137</vt:i4>
      </vt:variant>
      <vt:variant>
        <vt:i4>212</vt:i4>
      </vt:variant>
      <vt:variant>
        <vt:i4>0</vt:i4>
      </vt:variant>
      <vt:variant>
        <vt:i4>5</vt:i4>
      </vt:variant>
      <vt:variant>
        <vt:lpwstr/>
      </vt:variant>
      <vt:variant>
        <vt:lpwstr>_Toc399142738</vt:lpwstr>
      </vt:variant>
      <vt:variant>
        <vt:i4>1966137</vt:i4>
      </vt:variant>
      <vt:variant>
        <vt:i4>206</vt:i4>
      </vt:variant>
      <vt:variant>
        <vt:i4>0</vt:i4>
      </vt:variant>
      <vt:variant>
        <vt:i4>5</vt:i4>
      </vt:variant>
      <vt:variant>
        <vt:lpwstr/>
      </vt:variant>
      <vt:variant>
        <vt:lpwstr>_Toc399142737</vt:lpwstr>
      </vt:variant>
      <vt:variant>
        <vt:i4>1966137</vt:i4>
      </vt:variant>
      <vt:variant>
        <vt:i4>200</vt:i4>
      </vt:variant>
      <vt:variant>
        <vt:i4>0</vt:i4>
      </vt:variant>
      <vt:variant>
        <vt:i4>5</vt:i4>
      </vt:variant>
      <vt:variant>
        <vt:lpwstr/>
      </vt:variant>
      <vt:variant>
        <vt:lpwstr>_Toc399142736</vt:lpwstr>
      </vt:variant>
      <vt:variant>
        <vt:i4>1966137</vt:i4>
      </vt:variant>
      <vt:variant>
        <vt:i4>194</vt:i4>
      </vt:variant>
      <vt:variant>
        <vt:i4>0</vt:i4>
      </vt:variant>
      <vt:variant>
        <vt:i4>5</vt:i4>
      </vt:variant>
      <vt:variant>
        <vt:lpwstr/>
      </vt:variant>
      <vt:variant>
        <vt:lpwstr>_Toc399142735</vt:lpwstr>
      </vt:variant>
      <vt:variant>
        <vt:i4>1966137</vt:i4>
      </vt:variant>
      <vt:variant>
        <vt:i4>188</vt:i4>
      </vt:variant>
      <vt:variant>
        <vt:i4>0</vt:i4>
      </vt:variant>
      <vt:variant>
        <vt:i4>5</vt:i4>
      </vt:variant>
      <vt:variant>
        <vt:lpwstr/>
      </vt:variant>
      <vt:variant>
        <vt:lpwstr>_Toc399142734</vt:lpwstr>
      </vt:variant>
      <vt:variant>
        <vt:i4>1966137</vt:i4>
      </vt:variant>
      <vt:variant>
        <vt:i4>182</vt:i4>
      </vt:variant>
      <vt:variant>
        <vt:i4>0</vt:i4>
      </vt:variant>
      <vt:variant>
        <vt:i4>5</vt:i4>
      </vt:variant>
      <vt:variant>
        <vt:lpwstr/>
      </vt:variant>
      <vt:variant>
        <vt:lpwstr>_Toc399142733</vt:lpwstr>
      </vt:variant>
      <vt:variant>
        <vt:i4>1966137</vt:i4>
      </vt:variant>
      <vt:variant>
        <vt:i4>176</vt:i4>
      </vt:variant>
      <vt:variant>
        <vt:i4>0</vt:i4>
      </vt:variant>
      <vt:variant>
        <vt:i4>5</vt:i4>
      </vt:variant>
      <vt:variant>
        <vt:lpwstr/>
      </vt:variant>
      <vt:variant>
        <vt:lpwstr>_Toc399142732</vt:lpwstr>
      </vt:variant>
      <vt:variant>
        <vt:i4>1966137</vt:i4>
      </vt:variant>
      <vt:variant>
        <vt:i4>170</vt:i4>
      </vt:variant>
      <vt:variant>
        <vt:i4>0</vt:i4>
      </vt:variant>
      <vt:variant>
        <vt:i4>5</vt:i4>
      </vt:variant>
      <vt:variant>
        <vt:lpwstr/>
      </vt:variant>
      <vt:variant>
        <vt:lpwstr>_Toc399142731</vt:lpwstr>
      </vt:variant>
      <vt:variant>
        <vt:i4>1966137</vt:i4>
      </vt:variant>
      <vt:variant>
        <vt:i4>164</vt:i4>
      </vt:variant>
      <vt:variant>
        <vt:i4>0</vt:i4>
      </vt:variant>
      <vt:variant>
        <vt:i4>5</vt:i4>
      </vt:variant>
      <vt:variant>
        <vt:lpwstr/>
      </vt:variant>
      <vt:variant>
        <vt:lpwstr>_Toc399142730</vt:lpwstr>
      </vt:variant>
      <vt:variant>
        <vt:i4>2031673</vt:i4>
      </vt:variant>
      <vt:variant>
        <vt:i4>158</vt:i4>
      </vt:variant>
      <vt:variant>
        <vt:i4>0</vt:i4>
      </vt:variant>
      <vt:variant>
        <vt:i4>5</vt:i4>
      </vt:variant>
      <vt:variant>
        <vt:lpwstr/>
      </vt:variant>
      <vt:variant>
        <vt:lpwstr>_Toc399142729</vt:lpwstr>
      </vt:variant>
      <vt:variant>
        <vt:i4>2031673</vt:i4>
      </vt:variant>
      <vt:variant>
        <vt:i4>152</vt:i4>
      </vt:variant>
      <vt:variant>
        <vt:i4>0</vt:i4>
      </vt:variant>
      <vt:variant>
        <vt:i4>5</vt:i4>
      </vt:variant>
      <vt:variant>
        <vt:lpwstr/>
      </vt:variant>
      <vt:variant>
        <vt:lpwstr>_Toc399142728</vt:lpwstr>
      </vt:variant>
      <vt:variant>
        <vt:i4>2031673</vt:i4>
      </vt:variant>
      <vt:variant>
        <vt:i4>146</vt:i4>
      </vt:variant>
      <vt:variant>
        <vt:i4>0</vt:i4>
      </vt:variant>
      <vt:variant>
        <vt:i4>5</vt:i4>
      </vt:variant>
      <vt:variant>
        <vt:lpwstr/>
      </vt:variant>
      <vt:variant>
        <vt:lpwstr>_Toc399142727</vt:lpwstr>
      </vt:variant>
      <vt:variant>
        <vt:i4>2031673</vt:i4>
      </vt:variant>
      <vt:variant>
        <vt:i4>140</vt:i4>
      </vt:variant>
      <vt:variant>
        <vt:i4>0</vt:i4>
      </vt:variant>
      <vt:variant>
        <vt:i4>5</vt:i4>
      </vt:variant>
      <vt:variant>
        <vt:lpwstr/>
      </vt:variant>
      <vt:variant>
        <vt:lpwstr>_Toc399142726</vt:lpwstr>
      </vt:variant>
      <vt:variant>
        <vt:i4>2031673</vt:i4>
      </vt:variant>
      <vt:variant>
        <vt:i4>134</vt:i4>
      </vt:variant>
      <vt:variant>
        <vt:i4>0</vt:i4>
      </vt:variant>
      <vt:variant>
        <vt:i4>5</vt:i4>
      </vt:variant>
      <vt:variant>
        <vt:lpwstr/>
      </vt:variant>
      <vt:variant>
        <vt:lpwstr>_Toc399142725</vt:lpwstr>
      </vt:variant>
      <vt:variant>
        <vt:i4>2031673</vt:i4>
      </vt:variant>
      <vt:variant>
        <vt:i4>128</vt:i4>
      </vt:variant>
      <vt:variant>
        <vt:i4>0</vt:i4>
      </vt:variant>
      <vt:variant>
        <vt:i4>5</vt:i4>
      </vt:variant>
      <vt:variant>
        <vt:lpwstr/>
      </vt:variant>
      <vt:variant>
        <vt:lpwstr>_Toc399142724</vt:lpwstr>
      </vt:variant>
      <vt:variant>
        <vt:i4>2031673</vt:i4>
      </vt:variant>
      <vt:variant>
        <vt:i4>122</vt:i4>
      </vt:variant>
      <vt:variant>
        <vt:i4>0</vt:i4>
      </vt:variant>
      <vt:variant>
        <vt:i4>5</vt:i4>
      </vt:variant>
      <vt:variant>
        <vt:lpwstr/>
      </vt:variant>
      <vt:variant>
        <vt:lpwstr>_Toc399142723</vt:lpwstr>
      </vt:variant>
      <vt:variant>
        <vt:i4>2031673</vt:i4>
      </vt:variant>
      <vt:variant>
        <vt:i4>116</vt:i4>
      </vt:variant>
      <vt:variant>
        <vt:i4>0</vt:i4>
      </vt:variant>
      <vt:variant>
        <vt:i4>5</vt:i4>
      </vt:variant>
      <vt:variant>
        <vt:lpwstr/>
      </vt:variant>
      <vt:variant>
        <vt:lpwstr>_Toc399142722</vt:lpwstr>
      </vt:variant>
      <vt:variant>
        <vt:i4>2031673</vt:i4>
      </vt:variant>
      <vt:variant>
        <vt:i4>110</vt:i4>
      </vt:variant>
      <vt:variant>
        <vt:i4>0</vt:i4>
      </vt:variant>
      <vt:variant>
        <vt:i4>5</vt:i4>
      </vt:variant>
      <vt:variant>
        <vt:lpwstr/>
      </vt:variant>
      <vt:variant>
        <vt:lpwstr>_Toc399142721</vt:lpwstr>
      </vt:variant>
      <vt:variant>
        <vt:i4>2031673</vt:i4>
      </vt:variant>
      <vt:variant>
        <vt:i4>104</vt:i4>
      </vt:variant>
      <vt:variant>
        <vt:i4>0</vt:i4>
      </vt:variant>
      <vt:variant>
        <vt:i4>5</vt:i4>
      </vt:variant>
      <vt:variant>
        <vt:lpwstr/>
      </vt:variant>
      <vt:variant>
        <vt:lpwstr>_Toc399142720</vt:lpwstr>
      </vt:variant>
      <vt:variant>
        <vt:i4>1835065</vt:i4>
      </vt:variant>
      <vt:variant>
        <vt:i4>98</vt:i4>
      </vt:variant>
      <vt:variant>
        <vt:i4>0</vt:i4>
      </vt:variant>
      <vt:variant>
        <vt:i4>5</vt:i4>
      </vt:variant>
      <vt:variant>
        <vt:lpwstr/>
      </vt:variant>
      <vt:variant>
        <vt:lpwstr>_Toc399142719</vt:lpwstr>
      </vt:variant>
      <vt:variant>
        <vt:i4>1835065</vt:i4>
      </vt:variant>
      <vt:variant>
        <vt:i4>92</vt:i4>
      </vt:variant>
      <vt:variant>
        <vt:i4>0</vt:i4>
      </vt:variant>
      <vt:variant>
        <vt:i4>5</vt:i4>
      </vt:variant>
      <vt:variant>
        <vt:lpwstr/>
      </vt:variant>
      <vt:variant>
        <vt:lpwstr>_Toc399142718</vt:lpwstr>
      </vt:variant>
      <vt:variant>
        <vt:i4>1835065</vt:i4>
      </vt:variant>
      <vt:variant>
        <vt:i4>86</vt:i4>
      </vt:variant>
      <vt:variant>
        <vt:i4>0</vt:i4>
      </vt:variant>
      <vt:variant>
        <vt:i4>5</vt:i4>
      </vt:variant>
      <vt:variant>
        <vt:lpwstr/>
      </vt:variant>
      <vt:variant>
        <vt:lpwstr>_Toc399142717</vt:lpwstr>
      </vt:variant>
      <vt:variant>
        <vt:i4>1835065</vt:i4>
      </vt:variant>
      <vt:variant>
        <vt:i4>80</vt:i4>
      </vt:variant>
      <vt:variant>
        <vt:i4>0</vt:i4>
      </vt:variant>
      <vt:variant>
        <vt:i4>5</vt:i4>
      </vt:variant>
      <vt:variant>
        <vt:lpwstr/>
      </vt:variant>
      <vt:variant>
        <vt:lpwstr>_Toc399142716</vt:lpwstr>
      </vt:variant>
      <vt:variant>
        <vt:i4>1835065</vt:i4>
      </vt:variant>
      <vt:variant>
        <vt:i4>74</vt:i4>
      </vt:variant>
      <vt:variant>
        <vt:i4>0</vt:i4>
      </vt:variant>
      <vt:variant>
        <vt:i4>5</vt:i4>
      </vt:variant>
      <vt:variant>
        <vt:lpwstr/>
      </vt:variant>
      <vt:variant>
        <vt:lpwstr>_Toc399142715</vt:lpwstr>
      </vt:variant>
      <vt:variant>
        <vt:i4>1835065</vt:i4>
      </vt:variant>
      <vt:variant>
        <vt:i4>68</vt:i4>
      </vt:variant>
      <vt:variant>
        <vt:i4>0</vt:i4>
      </vt:variant>
      <vt:variant>
        <vt:i4>5</vt:i4>
      </vt:variant>
      <vt:variant>
        <vt:lpwstr/>
      </vt:variant>
      <vt:variant>
        <vt:lpwstr>_Toc399142714</vt:lpwstr>
      </vt:variant>
      <vt:variant>
        <vt:i4>1835065</vt:i4>
      </vt:variant>
      <vt:variant>
        <vt:i4>62</vt:i4>
      </vt:variant>
      <vt:variant>
        <vt:i4>0</vt:i4>
      </vt:variant>
      <vt:variant>
        <vt:i4>5</vt:i4>
      </vt:variant>
      <vt:variant>
        <vt:lpwstr/>
      </vt:variant>
      <vt:variant>
        <vt:lpwstr>_Toc399142713</vt:lpwstr>
      </vt:variant>
      <vt:variant>
        <vt:i4>1835065</vt:i4>
      </vt:variant>
      <vt:variant>
        <vt:i4>56</vt:i4>
      </vt:variant>
      <vt:variant>
        <vt:i4>0</vt:i4>
      </vt:variant>
      <vt:variant>
        <vt:i4>5</vt:i4>
      </vt:variant>
      <vt:variant>
        <vt:lpwstr/>
      </vt:variant>
      <vt:variant>
        <vt:lpwstr>_Toc399142712</vt:lpwstr>
      </vt:variant>
      <vt:variant>
        <vt:i4>1835065</vt:i4>
      </vt:variant>
      <vt:variant>
        <vt:i4>50</vt:i4>
      </vt:variant>
      <vt:variant>
        <vt:i4>0</vt:i4>
      </vt:variant>
      <vt:variant>
        <vt:i4>5</vt:i4>
      </vt:variant>
      <vt:variant>
        <vt:lpwstr/>
      </vt:variant>
      <vt:variant>
        <vt:lpwstr>_Toc399142711</vt:lpwstr>
      </vt:variant>
      <vt:variant>
        <vt:i4>1835065</vt:i4>
      </vt:variant>
      <vt:variant>
        <vt:i4>44</vt:i4>
      </vt:variant>
      <vt:variant>
        <vt:i4>0</vt:i4>
      </vt:variant>
      <vt:variant>
        <vt:i4>5</vt:i4>
      </vt:variant>
      <vt:variant>
        <vt:lpwstr/>
      </vt:variant>
      <vt:variant>
        <vt:lpwstr>_Toc399142710</vt:lpwstr>
      </vt:variant>
      <vt:variant>
        <vt:i4>1900601</vt:i4>
      </vt:variant>
      <vt:variant>
        <vt:i4>38</vt:i4>
      </vt:variant>
      <vt:variant>
        <vt:i4>0</vt:i4>
      </vt:variant>
      <vt:variant>
        <vt:i4>5</vt:i4>
      </vt:variant>
      <vt:variant>
        <vt:lpwstr/>
      </vt:variant>
      <vt:variant>
        <vt:lpwstr>_Toc399142709</vt:lpwstr>
      </vt:variant>
      <vt:variant>
        <vt:i4>1900601</vt:i4>
      </vt:variant>
      <vt:variant>
        <vt:i4>32</vt:i4>
      </vt:variant>
      <vt:variant>
        <vt:i4>0</vt:i4>
      </vt:variant>
      <vt:variant>
        <vt:i4>5</vt:i4>
      </vt:variant>
      <vt:variant>
        <vt:lpwstr/>
      </vt:variant>
      <vt:variant>
        <vt:lpwstr>_Toc399142708</vt:lpwstr>
      </vt:variant>
      <vt:variant>
        <vt:i4>1900601</vt:i4>
      </vt:variant>
      <vt:variant>
        <vt:i4>26</vt:i4>
      </vt:variant>
      <vt:variant>
        <vt:i4>0</vt:i4>
      </vt:variant>
      <vt:variant>
        <vt:i4>5</vt:i4>
      </vt:variant>
      <vt:variant>
        <vt:lpwstr/>
      </vt:variant>
      <vt:variant>
        <vt:lpwstr>_Toc399142707</vt:lpwstr>
      </vt:variant>
      <vt:variant>
        <vt:i4>1900601</vt:i4>
      </vt:variant>
      <vt:variant>
        <vt:i4>20</vt:i4>
      </vt:variant>
      <vt:variant>
        <vt:i4>0</vt:i4>
      </vt:variant>
      <vt:variant>
        <vt:i4>5</vt:i4>
      </vt:variant>
      <vt:variant>
        <vt:lpwstr/>
      </vt:variant>
      <vt:variant>
        <vt:lpwstr>_Toc399142706</vt:lpwstr>
      </vt:variant>
      <vt:variant>
        <vt:i4>1900601</vt:i4>
      </vt:variant>
      <vt:variant>
        <vt:i4>14</vt:i4>
      </vt:variant>
      <vt:variant>
        <vt:i4>0</vt:i4>
      </vt:variant>
      <vt:variant>
        <vt:i4>5</vt:i4>
      </vt:variant>
      <vt:variant>
        <vt:lpwstr/>
      </vt:variant>
      <vt:variant>
        <vt:lpwstr>_Toc399142705</vt:lpwstr>
      </vt:variant>
      <vt:variant>
        <vt:i4>1900601</vt:i4>
      </vt:variant>
      <vt:variant>
        <vt:i4>8</vt:i4>
      </vt:variant>
      <vt:variant>
        <vt:i4>0</vt:i4>
      </vt:variant>
      <vt:variant>
        <vt:i4>5</vt:i4>
      </vt:variant>
      <vt:variant>
        <vt:lpwstr/>
      </vt:variant>
      <vt:variant>
        <vt:lpwstr>_Toc399142704</vt:lpwstr>
      </vt:variant>
      <vt:variant>
        <vt:i4>1900601</vt:i4>
      </vt:variant>
      <vt:variant>
        <vt:i4>2</vt:i4>
      </vt:variant>
      <vt:variant>
        <vt:i4>0</vt:i4>
      </vt:variant>
      <vt:variant>
        <vt:i4>5</vt:i4>
      </vt:variant>
      <vt:variant>
        <vt:lpwstr/>
      </vt:variant>
      <vt:variant>
        <vt:lpwstr>_Toc399142703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caocq</dc:creator>
  <cp:lastModifiedBy>陈红</cp:lastModifiedBy>
  <cp:revision>7</cp:revision>
  <cp:lastPrinted>2019-09-23T08:35:00Z</cp:lastPrinted>
  <dcterms:created xsi:type="dcterms:W3CDTF">2019-09-17T09:29:00Z</dcterms:created>
  <dcterms:modified xsi:type="dcterms:W3CDTF">2019-09-23T08:35:00Z</dcterms:modified>
</cp:coreProperties>
</file>